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B66" w:rsidRDefault="00243B66" w:rsidP="009245BC">
      <w:pPr>
        <w:pStyle w:val="Default"/>
        <w:jc w:val="center"/>
        <w:rPr>
          <w:b/>
          <w:sz w:val="22"/>
          <w:szCs w:val="22"/>
          <w:lang w:val="ka-GE"/>
        </w:rPr>
      </w:pPr>
    </w:p>
    <w:p w:rsidR="009245BC" w:rsidRPr="00424D2E" w:rsidRDefault="009245BC" w:rsidP="009245BC">
      <w:pPr>
        <w:pStyle w:val="Default"/>
        <w:jc w:val="center"/>
        <w:rPr>
          <w:b/>
          <w:sz w:val="22"/>
          <w:szCs w:val="22"/>
          <w:lang w:val="ka-GE"/>
        </w:rPr>
      </w:pPr>
      <w:r w:rsidRPr="00424D2E">
        <w:rPr>
          <w:b/>
          <w:sz w:val="22"/>
          <w:szCs w:val="22"/>
          <w:lang w:val="ka-GE"/>
        </w:rPr>
        <w:t>შესყიდვის ობიექტი</w:t>
      </w:r>
    </w:p>
    <w:p w:rsidR="009245BC" w:rsidRPr="00424D2E" w:rsidRDefault="009245BC" w:rsidP="00243B66">
      <w:pPr>
        <w:pStyle w:val="Default"/>
        <w:spacing w:before="240"/>
        <w:jc w:val="both"/>
        <w:rPr>
          <w:sz w:val="22"/>
          <w:szCs w:val="22"/>
          <w:lang w:val="ka-GE"/>
        </w:rPr>
      </w:pPr>
      <w:r w:rsidRPr="00243B66">
        <w:rPr>
          <w:sz w:val="22"/>
          <w:szCs w:val="22"/>
          <w:lang w:val="ka-GE"/>
        </w:rPr>
        <w:t>შესყიდვის ობიექტს</w:t>
      </w:r>
      <w:r w:rsidRPr="00424D2E">
        <w:rPr>
          <w:sz w:val="22"/>
          <w:szCs w:val="22"/>
          <w:lang w:val="ka-GE"/>
        </w:rPr>
        <w:t xml:space="preserve"> წარმოადგენს შიდსთან, ტუბერკულოზსა და მალარიასთან ბრძოლის გლობალური ფონდის „ტუბერკულოზის ყველა ფორმის ხარისხიან დიაგნოსტიკასა და მკურნალობაზე საყოველთაო ხელმისაწვდომობის მდგრადობის უზრუნველყოფის“ (GEO-T-NCDC) პროგრამის ფარგლებში ტუბერკულოზით დაავადებულ პაციენტებში თამბაქოს მოხმარების შეწყვეტის ხელშეწყობის მომსახურების (CPV80500000 - სატრენინგო მომსახურებები, CPV80561000 - პროფესიული მომზადება ჯანმრთელობის დაცვის სფეროში) შესყიდვა. </w:t>
      </w:r>
    </w:p>
    <w:p w:rsidR="00830814" w:rsidRPr="00424D2E" w:rsidRDefault="009245BC" w:rsidP="009245BC">
      <w:pPr>
        <w:spacing w:before="240" w:line="276" w:lineRule="auto"/>
        <w:jc w:val="both"/>
        <w:rPr>
          <w:rFonts w:ascii="Sylfaen" w:hAnsi="Sylfaen"/>
          <w:lang w:val="ka-GE"/>
        </w:rPr>
      </w:pPr>
      <w:r w:rsidRPr="00424D2E">
        <w:rPr>
          <w:rFonts w:ascii="Sylfaen" w:hAnsi="Sylfaen"/>
          <w:lang w:val="ka-GE"/>
        </w:rPr>
        <w:t>მომსახურების მიწოდების საორიენტაციო ვადებია 2021 წლის  -----</w:t>
      </w:r>
    </w:p>
    <w:p w:rsidR="00B73F3E" w:rsidRPr="00424D2E" w:rsidRDefault="009245BC" w:rsidP="00B73F3E">
      <w:pPr>
        <w:spacing w:before="240" w:line="276" w:lineRule="auto"/>
        <w:jc w:val="center"/>
        <w:rPr>
          <w:rFonts w:ascii="Sylfaen" w:hAnsi="Sylfaen"/>
          <w:b/>
          <w:lang w:val="ka-GE"/>
        </w:rPr>
      </w:pPr>
      <w:r w:rsidRPr="00424D2E">
        <w:rPr>
          <w:rFonts w:ascii="Sylfaen" w:hAnsi="Sylfaen"/>
          <w:b/>
          <w:lang w:val="ka-GE"/>
        </w:rPr>
        <w:t>ტექნიკური დავალება</w:t>
      </w:r>
    </w:p>
    <w:p w:rsidR="00B73F3E" w:rsidRPr="00424D2E" w:rsidRDefault="00B73F3E" w:rsidP="00B73F3E">
      <w:pPr>
        <w:pStyle w:val="Default"/>
        <w:spacing w:before="240" w:after="240"/>
        <w:jc w:val="both"/>
        <w:rPr>
          <w:sz w:val="22"/>
          <w:szCs w:val="22"/>
          <w:lang w:val="ka-GE"/>
        </w:rPr>
      </w:pPr>
      <w:r w:rsidRPr="00424D2E">
        <w:rPr>
          <w:sz w:val="22"/>
          <w:szCs w:val="22"/>
          <w:lang w:val="ka-GE"/>
        </w:rPr>
        <w:t>მწეველებს აქვთ ტუბერკულოზით როგორც ინფიცირების და ასევე დაავადების განვითარების უფრო მაღალი რისკი არამწეველებთან შედარებით. თამბაქოს რეგულარული მოხმარება აორმაგებს რისკს, რომ ტუბერკულოზისგან წარმატებით განკურნებულ პირი ისევ დაავადდეს ტუბერკულოზით</w:t>
      </w:r>
      <w:r w:rsidR="00467780" w:rsidRPr="00424D2E">
        <w:rPr>
          <w:sz w:val="22"/>
          <w:szCs w:val="22"/>
          <w:lang w:val="ka-GE"/>
        </w:rPr>
        <w:t xml:space="preserve">. </w:t>
      </w:r>
      <w:r w:rsidRPr="00424D2E">
        <w:rPr>
          <w:sz w:val="22"/>
          <w:szCs w:val="22"/>
          <w:lang w:val="ka-GE"/>
        </w:rPr>
        <w:t xml:space="preserve">ტუბერკულოზით დაავადებულ პაციენტებს უფრო ხშირად აქვთ გამოხატული ხველა, ფილტვების კავერნოზული დაზიანება, და არიან ნაცხით დადებითი. ამდენად, სავარაუდოა რომ მწეველები ტუბერკულოზის ბაცილებს უფრო მეტად ავრცელებენ და მათი ოჯახი ტუბერკულოზით ინფიცირების მაღალი რისკის ქვეშ ექცევა. </w:t>
      </w:r>
    </w:p>
    <w:p w:rsidR="00B73F3E" w:rsidRPr="00424D2E" w:rsidRDefault="00B73F3E" w:rsidP="00B73F3E">
      <w:pPr>
        <w:pStyle w:val="Default"/>
        <w:spacing w:before="240" w:after="240"/>
        <w:jc w:val="both"/>
        <w:rPr>
          <w:sz w:val="22"/>
          <w:szCs w:val="22"/>
          <w:lang w:val="ka-GE"/>
        </w:rPr>
      </w:pPr>
      <w:r w:rsidRPr="00424D2E">
        <w:rPr>
          <w:sz w:val="22"/>
          <w:szCs w:val="22"/>
          <w:lang w:val="ka-GE"/>
        </w:rPr>
        <w:t xml:space="preserve">საქართველოში ტუბერკულოზის მქონე პაციენტებს შორის თამბაქოს მოხმარება ხშირია. 2015 წელს ჩატარებული კვლევის მიხედვით, ტუბერკულოზის მკურნალობის დროს პაციენტების 46% იყო აქტიური მწეველები და 32% ეწეოდა წარსულში, და ასეთ პაციენტებში თამბაქოს მოხმარებამ მნიშვნელოვნად გაზარდა მკურნალობის არასასურველი შედეგით დასრულების რისკი. </w:t>
      </w:r>
    </w:p>
    <w:p w:rsidR="00B73F3E" w:rsidRPr="00424D2E" w:rsidRDefault="00B73F3E" w:rsidP="00B73F3E">
      <w:pPr>
        <w:pStyle w:val="Default"/>
        <w:spacing w:before="240" w:after="240"/>
        <w:jc w:val="both"/>
        <w:rPr>
          <w:sz w:val="22"/>
          <w:szCs w:val="22"/>
          <w:lang w:val="ka-GE"/>
        </w:rPr>
      </w:pPr>
      <w:r w:rsidRPr="00424D2E">
        <w:rPr>
          <w:sz w:val="22"/>
          <w:szCs w:val="22"/>
          <w:lang w:val="ka-GE"/>
        </w:rPr>
        <w:t>ტუბერკულოზის კონტროლი მიზნად ისახავს ტუბერკულოზით ინფიცირებულ და დაავადებულ ადამიანთა რაოდენობის შემცირებას. ვინაიდან თამბაქოს მოხმარება ზრდის ორივეს რისკს და საფრთხეს უქმნის წარმატებულ მკურნალობას, მოწევის შეწყვეტა ხელს შეუწყობს ტუბერკულოზის კონტროლს საზოგადოებაში. ჯანმრთელობის მსოფლიო ორგანიზაციისა და ტუბერკულოზთან და ფილტვის დაავადებებთან ბრძოლის საერთაშორისო კავშირის (The Union) რეკომენდაციით, ტუბერკულოზის ეროვნული პროგრამა არჩეულია როგორც ტუბერკულოზით დაავადებული პაციენტების მიერ თამბაქოს მოხმარებისთვის თავის დანებების ხელშეწყობისთვის შესაბამისი მექანიზმი.</w:t>
      </w:r>
    </w:p>
    <w:p w:rsidR="00B73F3E" w:rsidRPr="00424D2E" w:rsidRDefault="00B73F3E" w:rsidP="00B73F3E">
      <w:pPr>
        <w:pStyle w:val="Default"/>
        <w:spacing w:before="240" w:after="240"/>
        <w:jc w:val="both"/>
        <w:rPr>
          <w:sz w:val="22"/>
          <w:szCs w:val="22"/>
          <w:lang w:val="ka-GE"/>
        </w:rPr>
      </w:pPr>
      <w:r w:rsidRPr="00424D2E">
        <w:rPr>
          <w:sz w:val="22"/>
          <w:szCs w:val="22"/>
          <w:lang w:val="ka-GE"/>
        </w:rPr>
        <w:t xml:space="preserve">2018-2019 წლებში ტუბერკულოზით დაავადებულ პაციენტებში თამბაქოს მოხმარების შეწყვეტის ხელშეწყობის პროგრამის ფარგლებში ითარგმნა ABC მიდგომით (ABC approach to smoking cessation) მიდგომაზე დაფუძნებული სახელმძღვანელო სამედიცინო პერსონალისთვის, ჩატარდა ტუბერკულოზის პროგრამაში ჩართული პერსონალის ტრენინგი, შემუშავდა ტუბერკულოზით დაავადებული პაციენტების მიერ თამბაქოს მოხმარების მონიტორინგის ჩარჩო. </w:t>
      </w:r>
    </w:p>
    <w:p w:rsidR="00B73F3E" w:rsidRPr="00424D2E" w:rsidRDefault="00B73F3E" w:rsidP="00B73F3E">
      <w:pPr>
        <w:spacing w:before="240" w:after="240" w:line="276" w:lineRule="auto"/>
        <w:jc w:val="both"/>
        <w:rPr>
          <w:rFonts w:ascii="Sylfaen" w:hAnsi="Sylfaen" w:cs="Sylfaen"/>
          <w:color w:val="000000"/>
          <w:lang w:val="ka-GE"/>
        </w:rPr>
      </w:pPr>
      <w:r w:rsidRPr="00424D2E">
        <w:rPr>
          <w:rFonts w:ascii="Sylfaen" w:hAnsi="Sylfaen" w:cs="Sylfaen"/>
          <w:b/>
          <w:color w:val="000000"/>
          <w:lang w:val="ka-GE"/>
        </w:rPr>
        <w:t>პროექტის მიზანია</w:t>
      </w:r>
      <w:r w:rsidRPr="00424D2E">
        <w:rPr>
          <w:rFonts w:ascii="Sylfaen" w:hAnsi="Sylfaen" w:cs="Sylfaen"/>
          <w:color w:val="000000"/>
          <w:lang w:val="ka-GE"/>
        </w:rPr>
        <w:t xml:space="preserve"> ტუბერკულოზის სერვისის პროვაიდერების მიერ თამბაქოს მოხმარების მონიტორინგის ჩარჩოს დანერგვა, პაციენტების მიერ თამბაქოს მოხმარების შეწყვეტის და თამბაქოსგან თავისუფალი საცხოვრებელი გარემოს შექმნის ხელშეწყობისთვის.</w:t>
      </w:r>
    </w:p>
    <w:p w:rsidR="00B73F3E" w:rsidRPr="00424D2E" w:rsidRDefault="00B73F3E" w:rsidP="00B73F3E">
      <w:pPr>
        <w:spacing w:before="240" w:after="240" w:line="276" w:lineRule="auto"/>
        <w:jc w:val="both"/>
        <w:rPr>
          <w:rFonts w:ascii="Sylfaen" w:hAnsi="Sylfaen" w:cs="Sylfaen"/>
          <w:color w:val="000000"/>
          <w:lang w:val="ka-GE"/>
        </w:rPr>
      </w:pPr>
      <w:r w:rsidRPr="00424D2E">
        <w:rPr>
          <w:rFonts w:ascii="Sylfaen" w:hAnsi="Sylfaen" w:cs="Sylfaen"/>
          <w:color w:val="000000"/>
          <w:lang w:val="ka-GE"/>
        </w:rPr>
        <w:lastRenderedPageBreak/>
        <w:t xml:space="preserve">პროექტის სპეციფიკური ამოცანებია: </w:t>
      </w:r>
    </w:p>
    <w:p w:rsidR="00B35EF8" w:rsidRPr="00424D2E" w:rsidRDefault="00B35EF8" w:rsidP="003178A2">
      <w:pPr>
        <w:pStyle w:val="ListParagraph"/>
        <w:numPr>
          <w:ilvl w:val="0"/>
          <w:numId w:val="2"/>
        </w:numPr>
        <w:spacing w:before="240" w:after="240" w:line="276" w:lineRule="auto"/>
        <w:jc w:val="both"/>
        <w:rPr>
          <w:rFonts w:ascii="Sylfaen" w:hAnsi="Sylfaen" w:cs="Sylfaen"/>
          <w:color w:val="000000"/>
          <w:lang w:val="ka-GE"/>
        </w:rPr>
      </w:pPr>
      <w:r w:rsidRPr="00424D2E">
        <w:rPr>
          <w:rFonts w:ascii="Sylfaen" w:hAnsi="Sylfaen"/>
          <w:lang w:val="ka-GE"/>
        </w:rPr>
        <w:t>საინფორმაციო მასალის მომზადება</w:t>
      </w:r>
      <w:r w:rsidRPr="00424D2E">
        <w:rPr>
          <w:rFonts w:ascii="Sylfaen" w:hAnsi="Sylfaen" w:cs="Sylfaen"/>
          <w:color w:val="000000"/>
          <w:lang w:val="ka-GE"/>
        </w:rPr>
        <w:t>.</w:t>
      </w:r>
    </w:p>
    <w:p w:rsidR="00B35EF8" w:rsidRPr="00424D2E" w:rsidRDefault="00B35EF8" w:rsidP="00B35EF8">
      <w:pPr>
        <w:pStyle w:val="ListParagraph"/>
        <w:numPr>
          <w:ilvl w:val="0"/>
          <w:numId w:val="2"/>
        </w:numPr>
        <w:spacing w:before="240" w:after="240" w:line="276" w:lineRule="auto"/>
        <w:jc w:val="both"/>
        <w:rPr>
          <w:rFonts w:ascii="Sylfaen" w:hAnsi="Sylfaen" w:cs="Sylfaen"/>
          <w:color w:val="000000"/>
          <w:lang w:val="ka-GE"/>
        </w:rPr>
      </w:pPr>
      <w:r w:rsidRPr="00424D2E">
        <w:rPr>
          <w:rFonts w:ascii="Sylfaen" w:hAnsi="Sylfaen" w:cs="Sylfaen"/>
          <w:color w:val="000000"/>
          <w:lang w:val="ka-GE"/>
        </w:rPr>
        <w:t>ტუბერკულოზის პროგრამაში ჩართული პერსონალის ცოდნის და უნარ-ჩვევების გაუმჯობესება</w:t>
      </w:r>
    </w:p>
    <w:p w:rsidR="003178A2" w:rsidRPr="00424D2E" w:rsidRDefault="003178A2" w:rsidP="003178A2">
      <w:pPr>
        <w:pStyle w:val="ListParagraph"/>
        <w:numPr>
          <w:ilvl w:val="0"/>
          <w:numId w:val="2"/>
        </w:numPr>
        <w:jc w:val="both"/>
        <w:rPr>
          <w:rFonts w:ascii="Sylfaen" w:hAnsi="Sylfaen"/>
          <w:lang w:val="ka-GE"/>
        </w:rPr>
      </w:pPr>
      <w:r w:rsidRPr="00424D2E">
        <w:rPr>
          <w:rFonts w:ascii="Sylfaen" w:hAnsi="Sylfaen"/>
          <w:lang w:val="ka-GE"/>
        </w:rPr>
        <w:t xml:space="preserve">ადვოკატირება ტუბ.დაავადებულთათვის მოწევის შეწყვეტის მედიკამენტების </w:t>
      </w:r>
      <w:r w:rsidRPr="00424D2E">
        <w:rPr>
          <w:rFonts w:ascii="Sylfaen" w:hAnsi="Sylfaen"/>
        </w:rPr>
        <w:t>ხ</w:t>
      </w:r>
      <w:r w:rsidRPr="00424D2E">
        <w:rPr>
          <w:rFonts w:ascii="Sylfaen" w:hAnsi="Sylfaen"/>
          <w:lang w:val="ka-GE"/>
        </w:rPr>
        <w:t>ელმისაწვდომობის გასაზრდელად.</w:t>
      </w:r>
    </w:p>
    <w:p w:rsidR="00B73F3E" w:rsidRPr="00424D2E" w:rsidRDefault="00B73F3E" w:rsidP="00B73F3E">
      <w:pPr>
        <w:spacing w:before="240" w:after="240" w:line="276" w:lineRule="auto"/>
        <w:jc w:val="both"/>
        <w:rPr>
          <w:rFonts w:ascii="Sylfaen" w:hAnsi="Sylfaen" w:cs="Sylfaen"/>
          <w:color w:val="000000"/>
          <w:lang w:val="ka-GE"/>
        </w:rPr>
      </w:pPr>
      <w:r w:rsidRPr="00424D2E">
        <w:rPr>
          <w:rFonts w:ascii="Sylfaen" w:hAnsi="Sylfaen" w:cs="Sylfaen"/>
          <w:color w:val="000000"/>
          <w:lang w:val="ka-GE"/>
        </w:rPr>
        <w:t xml:space="preserve">პროექტის სამიზნე პოპულაცია: </w:t>
      </w:r>
      <w:r w:rsidR="00013115" w:rsidRPr="00424D2E">
        <w:rPr>
          <w:rFonts w:ascii="Sylfaen" w:hAnsi="Sylfaen" w:cs="Sylfaen"/>
          <w:color w:val="000000"/>
          <w:lang w:val="ka-GE"/>
        </w:rPr>
        <w:t xml:space="preserve">ტუბერკულოზით დაავადებული პაციენტები და </w:t>
      </w:r>
      <w:r w:rsidRPr="00424D2E">
        <w:rPr>
          <w:rFonts w:ascii="Sylfaen" w:hAnsi="Sylfaen" w:cs="Sylfaen"/>
          <w:color w:val="000000"/>
          <w:lang w:val="ka-GE"/>
        </w:rPr>
        <w:t xml:space="preserve">იმ სამედიცინო დაწესებულებებში დასაქმებული პერსონალი, რომლებიც მონაწილეობენ ტუბერკულოზის სახელმწიფო პროგრამაში. </w:t>
      </w:r>
    </w:p>
    <w:p w:rsidR="00B73F3E" w:rsidRPr="00424D2E" w:rsidRDefault="00B73F3E" w:rsidP="00B73F3E">
      <w:pPr>
        <w:spacing w:before="240" w:after="240" w:line="276" w:lineRule="auto"/>
        <w:jc w:val="both"/>
        <w:rPr>
          <w:rFonts w:ascii="Sylfaen" w:hAnsi="Sylfaen" w:cs="Sylfaen"/>
          <w:color w:val="000000"/>
          <w:lang w:val="ka-GE"/>
        </w:rPr>
      </w:pPr>
      <w:r w:rsidRPr="00424D2E">
        <w:rPr>
          <w:rFonts w:ascii="Sylfaen" w:hAnsi="Sylfaen" w:cs="Sylfaen"/>
          <w:color w:val="000000"/>
          <w:lang w:val="ka-GE"/>
        </w:rPr>
        <w:t>პოტენციურმა სუბკონტრაქტორმა ორგანიზაციამ უნდა შეაფასოს სამედიცინო პერსონალის მიერ თამბაქოს მოწევის შეწყვეტის ხელშეწყობის მიზნით ABC მიდგომის გამოყენება. შეფასების შედეგების შესაბამისად ჩაატაროს ტრენინგი ABC მიდგომის თემაზე: ჰკითხეთ პაციენტს თუ ეწევა - მიეცით მოკლე რჩევა თამბაქოზე უარის თქმის მნიშვნელობისა და სარგებლის შესახებ - გაუწიეთ პაციენტის დახმარება თამბაქოს მოხმარების შეწყვეტისთვის. ABC მიდგომის კომპონენტების სწავლების გარდა, ტრენინგი მიზნად ისახავს ჯანდაცვის მუშაკების მიერ თავიანთი პასუხისმგებლობისა და მუშაობის მნიშვნელობას გაცნობიერებას. სამედიცინო პერსონალმა უნდა ისწავლოს პოზიტიური კომუნიკაცია და ფოკუსირება პაციენტის საჭიროებებზე. ეს გულისხმობს მწეველი პაციენტების მიმართ პატივისცემით მოპყრობას, მათ მოსმენას და პაციენტების როგორც ტუბერკულოზისგან განკურნების, ასევე მოწევის შეწყვეტის მიმართ დაინტერესების გამოხატვას.</w:t>
      </w:r>
    </w:p>
    <w:p w:rsidR="00B73F3E" w:rsidRPr="00424D2E" w:rsidRDefault="00B73F3E" w:rsidP="00B73F3E">
      <w:pPr>
        <w:spacing w:before="240" w:after="240" w:line="276" w:lineRule="auto"/>
        <w:jc w:val="both"/>
        <w:rPr>
          <w:rFonts w:ascii="Sylfaen" w:hAnsi="Sylfaen" w:cs="Sylfaen"/>
          <w:b/>
          <w:color w:val="000000"/>
          <w:lang w:val="ka-GE"/>
        </w:rPr>
      </w:pPr>
      <w:r w:rsidRPr="00424D2E">
        <w:rPr>
          <w:rFonts w:ascii="Sylfaen" w:hAnsi="Sylfaen" w:cs="Sylfaen"/>
          <w:b/>
          <w:color w:val="000000"/>
          <w:lang w:val="ka-GE"/>
        </w:rPr>
        <w:t>განსახორციელებელი აქტივობები</w:t>
      </w:r>
    </w:p>
    <w:p w:rsidR="007A3135" w:rsidRPr="00424D2E" w:rsidRDefault="007A3135" w:rsidP="007A3135">
      <w:pPr>
        <w:spacing w:before="240" w:after="240" w:line="276" w:lineRule="auto"/>
        <w:jc w:val="both"/>
        <w:rPr>
          <w:rFonts w:ascii="Sylfaen" w:hAnsi="Sylfaen" w:cs="Sylfaen"/>
          <w:color w:val="000000"/>
          <w:lang w:val="ka-GE"/>
        </w:rPr>
      </w:pPr>
      <w:r w:rsidRPr="00424D2E">
        <w:rPr>
          <w:rFonts w:ascii="Sylfaen" w:hAnsi="Sylfaen" w:cs="Sylfaen"/>
          <w:b/>
          <w:color w:val="000000"/>
          <w:lang w:val="ka-GE"/>
        </w:rPr>
        <w:t>ამოცანა 1.</w:t>
      </w:r>
      <w:r w:rsidRPr="00424D2E">
        <w:rPr>
          <w:rFonts w:ascii="Sylfaen" w:hAnsi="Sylfaen" w:cs="Sylfaen"/>
          <w:color w:val="000000"/>
          <w:lang w:val="ka-GE"/>
        </w:rPr>
        <w:t xml:space="preserve"> </w:t>
      </w:r>
      <w:r w:rsidRPr="00424D2E">
        <w:rPr>
          <w:rFonts w:ascii="Sylfaen" w:hAnsi="Sylfaen"/>
          <w:lang w:val="ka-GE"/>
        </w:rPr>
        <w:t>საინფორმაციო მასალის მომზადება</w:t>
      </w:r>
      <w:r w:rsidRPr="00424D2E">
        <w:rPr>
          <w:rFonts w:ascii="Sylfaen" w:hAnsi="Sylfaen" w:cs="Sylfaen"/>
          <w:color w:val="000000"/>
          <w:lang w:val="ka-GE"/>
        </w:rPr>
        <w:t>.</w:t>
      </w:r>
    </w:p>
    <w:p w:rsidR="007A3135" w:rsidRPr="00424D2E" w:rsidRDefault="007A3135" w:rsidP="007A3135">
      <w:pPr>
        <w:spacing w:before="240" w:after="240" w:line="276" w:lineRule="auto"/>
        <w:jc w:val="both"/>
        <w:rPr>
          <w:rFonts w:ascii="Sylfaen" w:hAnsi="Sylfaen"/>
          <w:lang w:val="ka-GE"/>
        </w:rPr>
      </w:pPr>
      <w:r w:rsidRPr="00424D2E">
        <w:rPr>
          <w:rFonts w:ascii="Sylfaen" w:hAnsi="Sylfaen"/>
          <w:lang w:val="ka-GE"/>
        </w:rPr>
        <w:t>აქტივობა 1.1 წინა პროექტის ფარგლებში შემუშავებული საინფორმაციო ფლაერის განახლება, დაბეჭდვა (2000 ცალი) და პაციენტებში გავრცელება.</w:t>
      </w:r>
    </w:p>
    <w:p w:rsidR="007A3135" w:rsidRPr="00424D2E" w:rsidRDefault="007A3135" w:rsidP="007A3135">
      <w:pPr>
        <w:spacing w:before="240" w:after="240" w:line="276" w:lineRule="auto"/>
        <w:jc w:val="both"/>
        <w:rPr>
          <w:rFonts w:ascii="Sylfaen" w:hAnsi="Sylfaen"/>
          <w:lang w:val="ka-GE"/>
        </w:rPr>
      </w:pPr>
      <w:r w:rsidRPr="00424D2E">
        <w:rPr>
          <w:rFonts w:ascii="Sylfaen" w:hAnsi="Sylfaen"/>
          <w:lang w:val="ka-GE"/>
        </w:rPr>
        <w:t>აქტივობა 1.2 ჯანმოს მიერ ტუბერკულოზით დაავადებული პაციენტებისთვის შექმნილი სახელმძღვანელოს (A guide for Tuberculosis patients to quit smoking) თარგმნა, ადაპტაცია  დაბეჭდვა (2000 ცალი)</w:t>
      </w:r>
      <w:r w:rsidR="00A35926" w:rsidRPr="00424D2E">
        <w:rPr>
          <w:rFonts w:ascii="Sylfaen" w:hAnsi="Sylfaen"/>
          <w:lang w:val="ka-GE"/>
        </w:rPr>
        <w:t xml:space="preserve"> და გავრცელება</w:t>
      </w:r>
      <w:r w:rsidRPr="00424D2E">
        <w:rPr>
          <w:rFonts w:ascii="Sylfaen" w:hAnsi="Sylfaen"/>
          <w:lang w:val="ka-GE"/>
        </w:rPr>
        <w:t>.</w:t>
      </w:r>
    </w:p>
    <w:p w:rsidR="007A3135" w:rsidRPr="00424D2E" w:rsidRDefault="007A3135" w:rsidP="007A3135">
      <w:pPr>
        <w:spacing w:before="240" w:after="240" w:line="276" w:lineRule="auto"/>
        <w:jc w:val="both"/>
        <w:rPr>
          <w:rFonts w:ascii="Sylfaen" w:hAnsi="Sylfaen"/>
          <w:lang w:val="ka-GE"/>
        </w:rPr>
      </w:pPr>
      <w:r w:rsidRPr="00424D2E">
        <w:rPr>
          <w:rFonts w:ascii="Sylfaen" w:hAnsi="Sylfaen"/>
          <w:lang w:val="ka-GE"/>
        </w:rPr>
        <w:t xml:space="preserve">აქტივობა 1.3 </w:t>
      </w:r>
      <w:r w:rsidRPr="00424D2E">
        <w:rPr>
          <w:rFonts w:ascii="Sylfaen" w:hAnsi="Sylfaen" w:cs="Sylfaen"/>
          <w:color w:val="222222"/>
          <w:shd w:val="clear" w:color="auto" w:fill="FFFFFF"/>
          <w:lang w:val="ka-GE"/>
        </w:rPr>
        <w:t>ექიმებისთვის</w:t>
      </w:r>
      <w:r w:rsidRPr="00424D2E">
        <w:rPr>
          <w:rFonts w:ascii="Arial" w:hAnsi="Arial" w:cs="Arial"/>
          <w:color w:val="222222"/>
          <w:shd w:val="clear" w:color="auto" w:fill="FFFFFF"/>
          <w:lang w:val="ka-GE"/>
        </w:rPr>
        <w:t xml:space="preserve"> </w:t>
      </w:r>
      <w:r w:rsidRPr="00424D2E">
        <w:rPr>
          <w:rFonts w:ascii="Sylfaen" w:hAnsi="Sylfaen" w:cs="Sylfaen"/>
          <w:color w:val="222222"/>
          <w:shd w:val="clear" w:color="auto" w:fill="FFFFFF"/>
          <w:lang w:val="ka-GE"/>
        </w:rPr>
        <w:t>ბუკლეტის შემუშავება</w:t>
      </w:r>
      <w:r w:rsidRPr="00424D2E">
        <w:rPr>
          <w:rFonts w:ascii="Arial" w:hAnsi="Arial" w:cs="Arial"/>
          <w:color w:val="222222"/>
          <w:shd w:val="clear" w:color="auto" w:fill="FFFFFF"/>
          <w:lang w:val="ka-GE"/>
        </w:rPr>
        <w:t xml:space="preserve"> </w:t>
      </w:r>
      <w:r w:rsidRPr="00424D2E">
        <w:rPr>
          <w:rFonts w:ascii="Sylfaen" w:hAnsi="Sylfaen" w:cs="Arial"/>
          <w:color w:val="222222"/>
          <w:shd w:val="clear" w:color="auto" w:fill="FFFFFF"/>
          <w:lang w:val="ka-GE"/>
        </w:rPr>
        <w:t xml:space="preserve">თამბაქოზე დამოკუდებულების </w:t>
      </w:r>
      <w:r w:rsidRPr="00424D2E">
        <w:rPr>
          <w:rFonts w:ascii="Sylfaen" w:hAnsi="Sylfaen" w:cs="Sylfaen"/>
          <w:color w:val="222222"/>
          <w:shd w:val="clear" w:color="auto" w:fill="FFFFFF"/>
          <w:lang w:val="ka-GE"/>
        </w:rPr>
        <w:t>მკურნალობის</w:t>
      </w:r>
      <w:r w:rsidRPr="00424D2E">
        <w:rPr>
          <w:rFonts w:ascii="Arial" w:hAnsi="Arial" w:cs="Arial"/>
          <w:color w:val="222222"/>
          <w:shd w:val="clear" w:color="auto" w:fill="FFFFFF"/>
          <w:lang w:val="ka-GE"/>
        </w:rPr>
        <w:t xml:space="preserve"> </w:t>
      </w:r>
      <w:r w:rsidRPr="00424D2E">
        <w:rPr>
          <w:rFonts w:ascii="Sylfaen" w:hAnsi="Sylfaen" w:cs="Sylfaen"/>
          <w:color w:val="222222"/>
          <w:shd w:val="clear" w:color="auto" w:fill="FFFFFF"/>
          <w:lang w:val="ka-GE"/>
        </w:rPr>
        <w:t>სქემების</w:t>
      </w:r>
      <w:r w:rsidRPr="00424D2E">
        <w:rPr>
          <w:rFonts w:ascii="Arial" w:hAnsi="Arial" w:cs="Arial"/>
          <w:color w:val="222222"/>
          <w:shd w:val="clear" w:color="auto" w:fill="FFFFFF"/>
          <w:lang w:val="ka-GE"/>
        </w:rPr>
        <w:t xml:space="preserve"> </w:t>
      </w:r>
      <w:r w:rsidRPr="00424D2E">
        <w:rPr>
          <w:rFonts w:ascii="Sylfaen" w:hAnsi="Sylfaen" w:cs="Sylfaen"/>
          <w:color w:val="222222"/>
          <w:shd w:val="clear" w:color="auto" w:fill="FFFFFF"/>
          <w:lang w:val="ka-GE"/>
        </w:rPr>
        <w:t>შესახებ, დაბეჭდვა (250) და გავრცელება.</w:t>
      </w:r>
    </w:p>
    <w:p w:rsidR="00467780" w:rsidRPr="00424D2E" w:rsidRDefault="003178A2" w:rsidP="003178A2">
      <w:pPr>
        <w:spacing w:before="240" w:after="240" w:line="276" w:lineRule="auto"/>
        <w:jc w:val="both"/>
        <w:rPr>
          <w:rFonts w:ascii="Sylfaen" w:hAnsi="Sylfaen" w:cs="Sylfaen"/>
          <w:color w:val="000000"/>
          <w:lang w:val="ka-GE"/>
        </w:rPr>
      </w:pPr>
      <w:r w:rsidRPr="00424D2E">
        <w:rPr>
          <w:rFonts w:ascii="Sylfaen" w:hAnsi="Sylfaen" w:cs="Sylfaen"/>
          <w:b/>
          <w:color w:val="000000"/>
          <w:lang w:val="ka-GE"/>
        </w:rPr>
        <w:t xml:space="preserve">ამოცანა </w:t>
      </w:r>
      <w:r w:rsidR="007A3135" w:rsidRPr="00424D2E">
        <w:rPr>
          <w:rFonts w:ascii="Sylfaen" w:hAnsi="Sylfaen" w:cs="Sylfaen"/>
          <w:b/>
          <w:color w:val="000000"/>
          <w:lang w:val="ka-GE"/>
        </w:rPr>
        <w:t>2</w:t>
      </w:r>
      <w:r w:rsidRPr="00424D2E">
        <w:rPr>
          <w:rFonts w:ascii="Sylfaen" w:hAnsi="Sylfaen" w:cs="Sylfaen"/>
          <w:b/>
          <w:color w:val="000000"/>
          <w:lang w:val="ka-GE"/>
        </w:rPr>
        <w:t xml:space="preserve">. </w:t>
      </w:r>
      <w:r w:rsidRPr="00424D2E">
        <w:rPr>
          <w:rFonts w:ascii="Sylfaen" w:hAnsi="Sylfaen" w:cs="Sylfaen"/>
          <w:color w:val="000000"/>
          <w:lang w:val="ka-GE"/>
        </w:rPr>
        <w:t>ტუბერკულოზ</w:t>
      </w:r>
      <w:r w:rsidR="00B35EF8" w:rsidRPr="00424D2E">
        <w:rPr>
          <w:rFonts w:ascii="Sylfaen" w:hAnsi="Sylfaen" w:cs="Sylfaen"/>
          <w:color w:val="000000"/>
          <w:lang w:val="ka-GE"/>
        </w:rPr>
        <w:t>ის პროგრამაში ჩართული პერსონალის</w:t>
      </w:r>
      <w:r w:rsidRPr="00424D2E">
        <w:rPr>
          <w:rFonts w:ascii="Sylfaen" w:hAnsi="Sylfaen" w:cs="Sylfaen"/>
          <w:color w:val="000000"/>
          <w:lang w:val="ka-GE"/>
        </w:rPr>
        <w:t xml:space="preserve"> </w:t>
      </w:r>
      <w:r w:rsidR="00467780" w:rsidRPr="00424D2E">
        <w:rPr>
          <w:rFonts w:ascii="Sylfaen" w:hAnsi="Sylfaen" w:cs="Sylfaen"/>
          <w:color w:val="000000"/>
          <w:lang w:val="ka-GE"/>
        </w:rPr>
        <w:t>ცოდნის და უნარ-ჩვევების გაუმჯობესება</w:t>
      </w:r>
    </w:p>
    <w:p w:rsidR="00467780" w:rsidRPr="00424D2E" w:rsidRDefault="003178A2" w:rsidP="003178A2">
      <w:pPr>
        <w:jc w:val="both"/>
        <w:rPr>
          <w:rFonts w:ascii="Sylfaen" w:hAnsi="Sylfaen" w:cs="Sylfaen"/>
          <w:color w:val="000000"/>
          <w:lang w:val="ka-GE"/>
        </w:rPr>
      </w:pPr>
      <w:r w:rsidRPr="00424D2E">
        <w:rPr>
          <w:rFonts w:ascii="Sylfaen" w:hAnsi="Sylfaen" w:cs="Sylfaen"/>
          <w:color w:val="000000"/>
          <w:lang w:val="ka-GE"/>
        </w:rPr>
        <w:t xml:space="preserve">აქტივობა </w:t>
      </w:r>
      <w:r w:rsidR="007A3135" w:rsidRPr="00424D2E">
        <w:rPr>
          <w:rFonts w:ascii="Sylfaen" w:hAnsi="Sylfaen" w:cs="Sylfaen"/>
          <w:color w:val="000000"/>
          <w:lang w:val="ka-GE"/>
        </w:rPr>
        <w:t>2</w:t>
      </w:r>
      <w:r w:rsidRPr="00424D2E">
        <w:rPr>
          <w:rFonts w:ascii="Sylfaen" w:hAnsi="Sylfaen" w:cs="Sylfaen"/>
          <w:color w:val="000000"/>
          <w:lang w:val="ka-GE"/>
        </w:rPr>
        <w:t xml:space="preserve">.1 </w:t>
      </w:r>
      <w:r w:rsidR="00467780" w:rsidRPr="00424D2E">
        <w:rPr>
          <w:rFonts w:ascii="Sylfaen" w:hAnsi="Sylfaen" w:cs="Sylfaen"/>
          <w:color w:val="000000"/>
          <w:lang w:val="ka-GE"/>
        </w:rPr>
        <w:t>დამყოლობის სამსახურის გადამზადება თამბაქოს მოხმარების შეწყვეტის კონსულტირების თემაზე</w:t>
      </w:r>
    </w:p>
    <w:p w:rsidR="003178A2" w:rsidRPr="00424D2E" w:rsidRDefault="003178A2" w:rsidP="003178A2">
      <w:pPr>
        <w:jc w:val="both"/>
        <w:rPr>
          <w:rFonts w:ascii="Sylfaen" w:hAnsi="Sylfaen"/>
          <w:lang w:val="ka-GE"/>
        </w:rPr>
      </w:pPr>
      <w:r w:rsidRPr="00424D2E">
        <w:rPr>
          <w:rFonts w:ascii="Sylfaen" w:hAnsi="Sylfaen"/>
          <w:lang w:val="ka-GE"/>
        </w:rPr>
        <w:lastRenderedPageBreak/>
        <w:t>დამყოლობის სამსახურის წარმომადგენლები აქტიურ კომუნიკაციას ახორციელებენ ტუბ-პაციენტებთან და მნიშვნელოვანი იქნება მათი ჩართვა თამბაქოზე თავის დანებების მოტივაციის ასამაღლებლად. ჩატარდება ტრენინგი</w:t>
      </w:r>
      <w:r w:rsidRPr="00424D2E">
        <w:rPr>
          <w:rFonts w:ascii="Sylfaen" w:hAnsi="Sylfaen" w:cs="Sylfaen"/>
          <w:color w:val="000000"/>
          <w:lang w:val="ka-GE"/>
        </w:rPr>
        <w:t xml:space="preserve"> დამყოლობის კონსულტანტებისთვის, თამბაქოს მოხმარების შეწყვეტის კონსულტირებაზე, მათი ცოდნის და უნარ-ჩვევების გაუმჯობესების მიზნით;</w:t>
      </w:r>
    </w:p>
    <w:p w:rsidR="00467780" w:rsidRPr="00424D2E" w:rsidRDefault="00467780" w:rsidP="00467780">
      <w:pPr>
        <w:spacing w:before="240" w:after="240" w:line="276" w:lineRule="auto"/>
        <w:jc w:val="both"/>
        <w:rPr>
          <w:rFonts w:ascii="Sylfaen" w:hAnsi="Sylfaen" w:cs="Sylfaen"/>
          <w:color w:val="000000"/>
          <w:lang w:val="ka-GE"/>
        </w:rPr>
      </w:pPr>
      <w:r w:rsidRPr="00424D2E">
        <w:rPr>
          <w:rFonts w:ascii="Sylfaen" w:hAnsi="Sylfaen" w:cs="Sylfaen"/>
          <w:color w:val="000000"/>
          <w:lang w:val="ka-GE"/>
        </w:rPr>
        <w:t xml:space="preserve">აქტივობა </w:t>
      </w:r>
      <w:r w:rsidR="007A3135" w:rsidRPr="00424D2E">
        <w:rPr>
          <w:rFonts w:ascii="Sylfaen" w:hAnsi="Sylfaen" w:cs="Sylfaen"/>
          <w:color w:val="000000"/>
          <w:lang w:val="ka-GE"/>
        </w:rPr>
        <w:t>2</w:t>
      </w:r>
      <w:r w:rsidRPr="00424D2E">
        <w:rPr>
          <w:rFonts w:ascii="Sylfaen" w:hAnsi="Sylfaen" w:cs="Sylfaen"/>
          <w:color w:val="000000"/>
          <w:lang w:val="ka-GE"/>
        </w:rPr>
        <w:t>.2</w:t>
      </w:r>
      <w:r w:rsidRPr="00424D2E">
        <w:rPr>
          <w:rFonts w:ascii="Sylfaen" w:hAnsi="Sylfaen" w:cs="Sylfaen"/>
          <w:b/>
          <w:color w:val="000000"/>
          <w:lang w:val="ka-GE"/>
        </w:rPr>
        <w:t xml:space="preserve"> </w:t>
      </w:r>
      <w:r w:rsidRPr="00424D2E">
        <w:rPr>
          <w:rFonts w:ascii="Sylfaen" w:hAnsi="Sylfaen" w:cs="Sylfaen"/>
          <w:color w:val="000000"/>
          <w:lang w:val="ka-GE"/>
        </w:rPr>
        <w:t>პროექტის ფარგლებში ჩართული ბაზის მენეჯერების ვორქშოფი</w:t>
      </w:r>
    </w:p>
    <w:p w:rsidR="00467780" w:rsidRPr="00424D2E" w:rsidRDefault="00467780" w:rsidP="00467780">
      <w:pPr>
        <w:spacing w:before="240" w:after="240" w:line="276" w:lineRule="auto"/>
        <w:jc w:val="both"/>
        <w:rPr>
          <w:rFonts w:ascii="Sylfaen" w:hAnsi="Sylfaen" w:cs="Sylfaen"/>
          <w:color w:val="000000"/>
          <w:lang w:val="ka-GE"/>
        </w:rPr>
      </w:pPr>
      <w:r w:rsidRPr="00424D2E">
        <w:rPr>
          <w:rFonts w:ascii="Sylfaen" w:hAnsi="Sylfaen" w:cs="Sylfaen"/>
          <w:color w:val="000000"/>
          <w:lang w:val="ka-GE"/>
        </w:rPr>
        <w:t xml:space="preserve">აქტივობა </w:t>
      </w:r>
      <w:r w:rsidR="007A3135" w:rsidRPr="00424D2E">
        <w:rPr>
          <w:rFonts w:ascii="Sylfaen" w:hAnsi="Sylfaen" w:cs="Sylfaen"/>
          <w:color w:val="000000"/>
          <w:lang w:val="ka-GE"/>
        </w:rPr>
        <w:t>2</w:t>
      </w:r>
      <w:r w:rsidRPr="00424D2E">
        <w:rPr>
          <w:rFonts w:ascii="Sylfaen" w:hAnsi="Sylfaen" w:cs="Sylfaen"/>
          <w:color w:val="000000"/>
          <w:lang w:val="ka-GE"/>
        </w:rPr>
        <w:t>.3 პროექტის ფარგლებში ჩართული ბაზის მენეჯერების მონიტორინგი და სუპერვიზია.</w:t>
      </w:r>
    </w:p>
    <w:p w:rsidR="007A3135" w:rsidRPr="00424D2E" w:rsidRDefault="007A3135" w:rsidP="00467780">
      <w:pPr>
        <w:spacing w:before="240" w:after="240" w:line="276" w:lineRule="auto"/>
        <w:jc w:val="both"/>
        <w:rPr>
          <w:rFonts w:ascii="Sylfaen" w:hAnsi="Sylfaen" w:cs="Sylfaen"/>
          <w:color w:val="000000"/>
          <w:lang w:val="ka-GE"/>
        </w:rPr>
      </w:pPr>
      <w:r w:rsidRPr="00424D2E">
        <w:rPr>
          <w:rFonts w:ascii="Sylfaen" w:hAnsi="Sylfaen" w:cs="Sylfaen"/>
          <w:color w:val="000000"/>
          <w:lang w:val="ka-GE"/>
        </w:rPr>
        <w:t xml:space="preserve">აქტივობა 2.4 ექიმებისთვის (100 ექიმი) სემინარის ჩატარება </w:t>
      </w:r>
      <w:r w:rsidRPr="00424D2E">
        <w:rPr>
          <w:rFonts w:ascii="Sylfaen" w:hAnsi="Sylfaen" w:cs="Arial"/>
          <w:color w:val="222222"/>
          <w:shd w:val="clear" w:color="auto" w:fill="FFFFFF"/>
          <w:lang w:val="ka-GE"/>
        </w:rPr>
        <w:t xml:space="preserve">თამბაქოზე დამოკიდებულების </w:t>
      </w:r>
      <w:r w:rsidRPr="00424D2E">
        <w:rPr>
          <w:rFonts w:ascii="Sylfaen" w:hAnsi="Sylfaen" w:cs="Sylfaen"/>
          <w:color w:val="222222"/>
          <w:shd w:val="clear" w:color="auto" w:fill="FFFFFF"/>
          <w:lang w:val="ka-GE"/>
        </w:rPr>
        <w:t>მკურნალობის თემაზე.</w:t>
      </w:r>
    </w:p>
    <w:p w:rsidR="00031B6C" w:rsidRPr="00424D2E" w:rsidRDefault="00031B6C" w:rsidP="003178A2">
      <w:pPr>
        <w:spacing w:before="240" w:after="240" w:line="276" w:lineRule="auto"/>
        <w:jc w:val="both"/>
        <w:rPr>
          <w:rFonts w:ascii="Sylfaen" w:hAnsi="Sylfaen" w:cs="Sylfaen"/>
          <w:color w:val="000000"/>
        </w:rPr>
      </w:pPr>
      <w:r w:rsidRPr="00424D2E">
        <w:rPr>
          <w:rFonts w:ascii="Sylfaen" w:hAnsi="Sylfaen" w:cs="Sylfaen"/>
          <w:b/>
          <w:color w:val="000000"/>
          <w:lang w:val="ka-GE"/>
        </w:rPr>
        <w:t xml:space="preserve">ამოცანა </w:t>
      </w:r>
      <w:r w:rsidR="00467780" w:rsidRPr="00424D2E">
        <w:rPr>
          <w:rFonts w:ascii="Sylfaen" w:hAnsi="Sylfaen" w:cs="Sylfaen"/>
          <w:b/>
          <w:color w:val="000000"/>
          <w:lang w:val="ka-GE"/>
        </w:rPr>
        <w:t>3</w:t>
      </w:r>
      <w:r w:rsidRPr="00424D2E">
        <w:rPr>
          <w:rFonts w:ascii="Sylfaen" w:hAnsi="Sylfaen" w:cs="Sylfaen"/>
          <w:b/>
          <w:color w:val="000000"/>
          <w:lang w:val="ka-GE"/>
        </w:rPr>
        <w:t xml:space="preserve">. </w:t>
      </w:r>
      <w:r w:rsidRPr="00424D2E">
        <w:rPr>
          <w:rFonts w:ascii="Sylfaen" w:hAnsi="Sylfaen"/>
          <w:lang w:val="ka-GE"/>
        </w:rPr>
        <w:t xml:space="preserve">ადვოკატირება ტუბ.დაავადებულთათვის მოწევის შეწყვეტის მედიკამენტების </w:t>
      </w:r>
      <w:r w:rsidRPr="00424D2E">
        <w:rPr>
          <w:rFonts w:ascii="Sylfaen" w:hAnsi="Sylfaen"/>
        </w:rPr>
        <w:t>ხ</w:t>
      </w:r>
      <w:r w:rsidRPr="00424D2E">
        <w:rPr>
          <w:rFonts w:ascii="Sylfaen" w:hAnsi="Sylfaen"/>
          <w:lang w:val="ka-GE"/>
        </w:rPr>
        <w:t>ელმისაწვდომობის გასაზრდელად</w:t>
      </w:r>
    </w:p>
    <w:p w:rsidR="00031B6C" w:rsidRPr="00424D2E" w:rsidRDefault="00031B6C" w:rsidP="003178A2">
      <w:pPr>
        <w:spacing w:before="240" w:after="240" w:line="276" w:lineRule="auto"/>
        <w:jc w:val="both"/>
        <w:rPr>
          <w:rFonts w:ascii="Sylfaen" w:hAnsi="Sylfaen"/>
          <w:lang w:val="ka-GE"/>
        </w:rPr>
      </w:pPr>
      <w:r w:rsidRPr="00424D2E">
        <w:rPr>
          <w:rFonts w:ascii="Sylfaen" w:hAnsi="Sylfaen"/>
          <w:lang w:val="ka-GE"/>
        </w:rPr>
        <w:t xml:space="preserve">აქტივობა </w:t>
      </w:r>
      <w:r w:rsidR="00467780" w:rsidRPr="00424D2E">
        <w:rPr>
          <w:rFonts w:ascii="Sylfaen" w:hAnsi="Sylfaen"/>
          <w:lang w:val="ka-GE"/>
        </w:rPr>
        <w:t>3</w:t>
      </w:r>
      <w:r w:rsidRPr="00424D2E">
        <w:rPr>
          <w:rFonts w:ascii="Sylfaen" w:hAnsi="Sylfaen"/>
          <w:lang w:val="ka-GE"/>
        </w:rPr>
        <w:t xml:space="preserve">.1 </w:t>
      </w:r>
      <w:r w:rsidR="003E33C7" w:rsidRPr="00424D2E">
        <w:rPr>
          <w:rFonts w:ascii="Sylfaen" w:hAnsi="Sylfaen"/>
          <w:lang w:val="ka-GE"/>
        </w:rPr>
        <w:t>ტუბერკულოზით დაავადებულ პაციენტებში თამბაქოს მოხმარების და მისი შეწყვეტის ხელშეწყობის მიზნით განხორციელებული აქტივობების შესახებ ინფორმაციის</w:t>
      </w:r>
      <w:r w:rsidR="008402A4" w:rsidRPr="00424D2E">
        <w:rPr>
          <w:rFonts w:ascii="Sylfaen" w:hAnsi="Sylfaen"/>
          <w:lang w:val="ka-GE"/>
        </w:rPr>
        <w:t xml:space="preserve"> შეგროვება</w:t>
      </w:r>
      <w:r w:rsidR="008402A4" w:rsidRPr="00424D2E">
        <w:rPr>
          <w:rFonts w:ascii="Sylfaen" w:hAnsi="Sylfaen"/>
        </w:rPr>
        <w:t>,</w:t>
      </w:r>
      <w:r w:rsidR="008402A4" w:rsidRPr="00424D2E">
        <w:rPr>
          <w:rFonts w:ascii="Sylfaen" w:hAnsi="Sylfaen"/>
          <w:lang w:val="ka-GE"/>
        </w:rPr>
        <w:t xml:space="preserve"> ანალიზი</w:t>
      </w:r>
      <w:r w:rsidR="008402A4" w:rsidRPr="00424D2E">
        <w:rPr>
          <w:rFonts w:ascii="Sylfaen" w:hAnsi="Sylfaen"/>
        </w:rPr>
        <w:t xml:space="preserve"> </w:t>
      </w:r>
      <w:r w:rsidR="008402A4" w:rsidRPr="00424D2E">
        <w:rPr>
          <w:rFonts w:ascii="Sylfaen" w:hAnsi="Sylfaen"/>
          <w:lang w:val="ka-GE"/>
        </w:rPr>
        <w:t>და პუბლიკაციის მომზადება.</w:t>
      </w:r>
    </w:p>
    <w:p w:rsidR="00031B6C" w:rsidRPr="00424D2E" w:rsidRDefault="00031B6C" w:rsidP="00031B6C">
      <w:pPr>
        <w:jc w:val="both"/>
        <w:rPr>
          <w:rFonts w:ascii="Sylfaen" w:hAnsi="Sylfaen"/>
          <w:lang w:val="ka-GE"/>
        </w:rPr>
      </w:pPr>
      <w:r w:rsidRPr="00424D2E">
        <w:rPr>
          <w:rFonts w:ascii="Sylfaen" w:hAnsi="Sylfaen" w:cs="Sylfaen"/>
          <w:color w:val="000000"/>
          <w:lang w:val="ka-GE"/>
        </w:rPr>
        <w:t xml:space="preserve">აქტივობა </w:t>
      </w:r>
      <w:r w:rsidR="008402A4" w:rsidRPr="00424D2E">
        <w:rPr>
          <w:rFonts w:ascii="Sylfaen" w:hAnsi="Sylfaen" w:cs="Sylfaen"/>
          <w:color w:val="000000"/>
          <w:lang w:val="ka-GE"/>
        </w:rPr>
        <w:t>3</w:t>
      </w:r>
      <w:r w:rsidRPr="00424D2E">
        <w:rPr>
          <w:rFonts w:ascii="Sylfaen" w:hAnsi="Sylfaen" w:cs="Sylfaen"/>
          <w:color w:val="000000"/>
          <w:lang w:val="ka-GE"/>
        </w:rPr>
        <w:t>.</w:t>
      </w:r>
      <w:r w:rsidR="008402A4" w:rsidRPr="00424D2E">
        <w:rPr>
          <w:rFonts w:ascii="Sylfaen" w:hAnsi="Sylfaen" w:cs="Sylfaen"/>
          <w:color w:val="000000"/>
          <w:lang w:val="ka-GE"/>
        </w:rPr>
        <w:t>2</w:t>
      </w:r>
      <w:r w:rsidRPr="00424D2E">
        <w:rPr>
          <w:rFonts w:ascii="Sylfaen" w:hAnsi="Sylfaen" w:cs="Sylfaen"/>
          <w:color w:val="000000"/>
          <w:lang w:val="ka-GE"/>
        </w:rPr>
        <w:t xml:space="preserve"> </w:t>
      </w:r>
      <w:r w:rsidR="003E33C7" w:rsidRPr="00424D2E">
        <w:rPr>
          <w:rFonts w:ascii="Sylfaen" w:hAnsi="Sylfaen" w:cs="Sylfaen"/>
          <w:color w:val="000000"/>
          <w:lang w:val="ka-GE"/>
        </w:rPr>
        <w:t>შეხვედრის ჩატარება დაინტერესებული მხარეების მონაწილეობით (ტუბერკულოზის პროგრამაში მონაწილე, სახელმწიფო სტრუქტურები, სამედიცინო სერვისის პროვაიდერები, საერთაშორისო სააგენროები და სათემო ორგანიზაციები), სადაც წარმოდგენილი იქნება ანალიზის შედეგები და საერთაშორისო საუკეთესო პრაქტიკა.</w:t>
      </w:r>
    </w:p>
    <w:p w:rsidR="00931888" w:rsidRPr="00424D2E" w:rsidRDefault="00931888" w:rsidP="00931888">
      <w:pPr>
        <w:pStyle w:val="Default"/>
        <w:spacing w:before="240" w:after="240" w:line="276" w:lineRule="auto"/>
        <w:jc w:val="both"/>
        <w:rPr>
          <w:rFonts w:cstheme="minorBidi"/>
          <w:b/>
          <w:color w:val="auto"/>
          <w:sz w:val="22"/>
          <w:szCs w:val="22"/>
          <w:lang w:val="ka-GE"/>
        </w:rPr>
      </w:pPr>
      <w:r w:rsidRPr="00424D2E">
        <w:rPr>
          <w:b/>
          <w:sz w:val="22"/>
          <w:szCs w:val="22"/>
          <w:lang w:val="ka-GE"/>
        </w:rPr>
        <w:t>მოთხოვნები პრეტენდენტის მიმართ:</w:t>
      </w:r>
    </w:p>
    <w:p w:rsidR="00931888" w:rsidRPr="00424D2E" w:rsidRDefault="00931888" w:rsidP="00931888">
      <w:pPr>
        <w:pStyle w:val="Default"/>
        <w:spacing w:before="240" w:after="240" w:line="276" w:lineRule="auto"/>
        <w:jc w:val="both"/>
        <w:rPr>
          <w:rFonts w:cstheme="minorBidi"/>
          <w:color w:val="auto"/>
          <w:sz w:val="22"/>
          <w:szCs w:val="22"/>
          <w:lang w:val="ka-GE"/>
        </w:rPr>
      </w:pPr>
      <w:r w:rsidRPr="00424D2E">
        <w:rPr>
          <w:rFonts w:cstheme="minorBidi"/>
          <w:color w:val="auto"/>
          <w:sz w:val="22"/>
          <w:szCs w:val="22"/>
          <w:lang w:val="ka-GE"/>
        </w:rPr>
        <w:t xml:space="preserve">1. პროექტში პოტენციურ მონაწილე ორგანიზაციას უნდა გააჩნდეს თამბაქოს კონტროლის სფეროში ტრენინგის (სულ მცირე 3 ღონისძიების) ორგანიზების გამოცდილება, რის დამადასტურებლადაც წარმოდგენილი უნდა იყოს შესაბამისი დოკუმენტები; </w:t>
      </w:r>
    </w:p>
    <w:p w:rsidR="00931888" w:rsidRPr="00424D2E" w:rsidRDefault="00931888" w:rsidP="00931888">
      <w:pPr>
        <w:pStyle w:val="Default"/>
        <w:spacing w:before="240" w:after="240" w:line="276" w:lineRule="auto"/>
        <w:jc w:val="both"/>
        <w:rPr>
          <w:rFonts w:cstheme="minorBidi"/>
          <w:color w:val="auto"/>
          <w:sz w:val="22"/>
          <w:szCs w:val="22"/>
          <w:lang w:val="ka-GE"/>
        </w:rPr>
      </w:pPr>
      <w:r w:rsidRPr="00424D2E">
        <w:rPr>
          <w:rFonts w:cstheme="minorBidi"/>
          <w:color w:val="auto"/>
          <w:sz w:val="22"/>
          <w:szCs w:val="22"/>
          <w:lang w:val="ka-GE"/>
        </w:rPr>
        <w:t xml:space="preserve">2. პროექტში დასაქმებულ ძირითად პერსონალს უნდა ჰქონდეს ჯანმრთელობის ხელშეწყობის და განათლების საკითხებში სამედიცინო პერსონალის ტრენინგის გამოცდილება. წარმოდგენილი უნდა იყოს ძირითადი პერსონალის CV და ხელმოწერილი თანხმობა პროექტში მონაწილეობაზე; </w:t>
      </w:r>
    </w:p>
    <w:p w:rsidR="00931888" w:rsidRPr="00424D2E" w:rsidRDefault="00931888" w:rsidP="00931888">
      <w:pPr>
        <w:pStyle w:val="Default"/>
        <w:spacing w:before="240" w:after="240" w:line="276" w:lineRule="auto"/>
        <w:jc w:val="both"/>
        <w:rPr>
          <w:rFonts w:cstheme="minorBidi"/>
          <w:color w:val="auto"/>
          <w:sz w:val="22"/>
          <w:szCs w:val="22"/>
          <w:lang w:val="ka-GE"/>
        </w:rPr>
      </w:pPr>
      <w:r w:rsidRPr="00424D2E">
        <w:rPr>
          <w:rFonts w:cstheme="minorBidi"/>
          <w:color w:val="auto"/>
          <w:sz w:val="22"/>
          <w:szCs w:val="22"/>
          <w:lang w:val="ka-GE"/>
        </w:rPr>
        <w:t xml:space="preserve">3. ინტერესთა კონფლიქტის არქონა თამბაქოს ინდუსტრიასთან - ბოლო 5 წლის განმავლობაში (2013 წლიდან დღემდე) არ მიუღია დაფინანსება და/ან არ ჰქონია რაიმე სხვა სახის კონტრიბუცია/თანამშრომლობა თამბაქოს ინდუსტრიასთან (იმპორტიორი, ექსპორტიორი და მწარმოებელი კომპანიები) ან ინდუსტრიასთან ასოცირებულ ორგანიზაციებთან; ინფორმაციის დამადასტურებელი წერილი ხელმოწერით დანართის სახით. </w:t>
      </w:r>
    </w:p>
    <w:p w:rsidR="00931888" w:rsidRPr="00424D2E" w:rsidRDefault="00931888" w:rsidP="00D65EFF">
      <w:pPr>
        <w:jc w:val="both"/>
        <w:rPr>
          <w:rFonts w:ascii="Sylfaen" w:hAnsi="Sylfaen"/>
          <w:lang w:val="ka-GE"/>
        </w:rPr>
      </w:pPr>
    </w:p>
    <w:p w:rsidR="006D61D3" w:rsidRPr="00424D2E" w:rsidRDefault="006D61D3" w:rsidP="00B73F3E">
      <w:pPr>
        <w:spacing w:before="240" w:after="240" w:line="276" w:lineRule="auto"/>
        <w:jc w:val="both"/>
        <w:rPr>
          <w:rFonts w:ascii="Sylfaen" w:hAnsi="Sylfaen" w:cs="Sylfaen"/>
          <w:color w:val="000000"/>
          <w:lang w:val="ka-GE"/>
        </w:rPr>
        <w:sectPr w:rsidR="006D61D3" w:rsidRPr="00424D2E" w:rsidSect="00243B66">
          <w:pgSz w:w="12240" w:h="15840"/>
          <w:pgMar w:top="450" w:right="1440" w:bottom="1440" w:left="1440" w:header="720" w:footer="720" w:gutter="0"/>
          <w:cols w:space="720"/>
          <w:docGrid w:linePitch="360"/>
        </w:sectPr>
      </w:pPr>
    </w:p>
    <w:p w:rsidR="000F4F7C" w:rsidRDefault="000F4F7C" w:rsidP="006D61D3">
      <w:pPr>
        <w:widowControl w:val="0"/>
        <w:tabs>
          <w:tab w:val="left" w:pos="10632"/>
        </w:tabs>
        <w:autoSpaceDE w:val="0"/>
        <w:autoSpaceDN w:val="0"/>
        <w:adjustRightInd w:val="0"/>
        <w:spacing w:after="200" w:line="276" w:lineRule="auto"/>
        <w:ind w:left="-270" w:right="78"/>
        <w:jc w:val="both"/>
        <w:rPr>
          <w:rFonts w:ascii="Sylfaen" w:hAnsi="Sylfaen" w:cstheme="minorHAnsi"/>
          <w:spacing w:val="-1"/>
          <w:position w:val="1"/>
          <w:lang w:val="ka-GE"/>
        </w:rPr>
      </w:pPr>
    </w:p>
    <w:p w:rsidR="000F4F7C" w:rsidRDefault="000F4F7C" w:rsidP="006D61D3">
      <w:pPr>
        <w:widowControl w:val="0"/>
        <w:tabs>
          <w:tab w:val="left" w:pos="10632"/>
        </w:tabs>
        <w:autoSpaceDE w:val="0"/>
        <w:autoSpaceDN w:val="0"/>
        <w:adjustRightInd w:val="0"/>
        <w:spacing w:after="200" w:line="276" w:lineRule="auto"/>
        <w:ind w:left="-270" w:right="78"/>
        <w:jc w:val="both"/>
        <w:rPr>
          <w:rFonts w:ascii="Sylfaen" w:hAnsi="Sylfaen" w:cstheme="minorHAnsi"/>
          <w:spacing w:val="-1"/>
          <w:position w:val="1"/>
          <w:lang w:val="ka-GE"/>
        </w:rPr>
      </w:pPr>
    </w:p>
    <w:p w:rsidR="006D61D3" w:rsidRPr="00424D2E" w:rsidRDefault="006D61D3" w:rsidP="006D61D3">
      <w:pPr>
        <w:widowControl w:val="0"/>
        <w:tabs>
          <w:tab w:val="left" w:pos="10632"/>
        </w:tabs>
        <w:autoSpaceDE w:val="0"/>
        <w:autoSpaceDN w:val="0"/>
        <w:adjustRightInd w:val="0"/>
        <w:spacing w:after="200" w:line="276" w:lineRule="auto"/>
        <w:ind w:left="-270" w:right="78"/>
        <w:jc w:val="both"/>
        <w:rPr>
          <w:rFonts w:ascii="Sylfaen" w:hAnsi="Sylfaen" w:cstheme="minorHAnsi"/>
          <w:spacing w:val="-1"/>
          <w:position w:val="1"/>
          <w:lang w:val="ka-GE"/>
        </w:rPr>
      </w:pPr>
      <w:r w:rsidRPr="00424D2E">
        <w:rPr>
          <w:rFonts w:ascii="Sylfaen" w:hAnsi="Sylfaen" w:cstheme="minorHAnsi"/>
          <w:spacing w:val="-1"/>
          <w:position w:val="1"/>
          <w:lang w:val="ka-GE"/>
        </w:rPr>
        <w:t>დანართი 1. მომსახურების ფასი და  განხორციელების  საორიენტაციო ვადები</w:t>
      </w:r>
      <w:bookmarkStart w:id="0" w:name="_GoBack"/>
      <w:bookmarkEnd w:id="0"/>
    </w:p>
    <w:tbl>
      <w:tblPr>
        <w:tblStyle w:val="TableGrid"/>
        <w:tblW w:w="13765" w:type="dxa"/>
        <w:tblInd w:w="-275" w:type="dxa"/>
        <w:tblLayout w:type="fixed"/>
        <w:tblLook w:val="04A0" w:firstRow="1" w:lastRow="0" w:firstColumn="1" w:lastColumn="0" w:noHBand="0" w:noVBand="1"/>
      </w:tblPr>
      <w:tblGrid>
        <w:gridCol w:w="900"/>
        <w:gridCol w:w="6030"/>
        <w:gridCol w:w="2070"/>
        <w:gridCol w:w="1800"/>
        <w:gridCol w:w="2965"/>
      </w:tblGrid>
      <w:tr w:rsidR="006D61D3" w:rsidRPr="00424D2E" w:rsidTr="00284574">
        <w:tc>
          <w:tcPr>
            <w:tcW w:w="900" w:type="dxa"/>
          </w:tcPr>
          <w:p w:rsidR="006D61D3" w:rsidRPr="00424D2E" w:rsidRDefault="007A3135" w:rsidP="006D61D3">
            <w:pPr>
              <w:widowControl w:val="0"/>
              <w:tabs>
                <w:tab w:val="left" w:pos="10632"/>
              </w:tabs>
              <w:autoSpaceDE w:val="0"/>
              <w:autoSpaceDN w:val="0"/>
              <w:adjustRightInd w:val="0"/>
              <w:spacing w:after="200" w:line="276" w:lineRule="auto"/>
              <w:ind w:left="-18" w:right="78"/>
              <w:jc w:val="both"/>
              <w:rPr>
                <w:rFonts w:ascii="Sylfaen" w:hAnsi="Sylfaen" w:cstheme="minorHAnsi"/>
                <w:b/>
                <w:spacing w:val="-1"/>
                <w:position w:val="1"/>
                <w:lang w:val="ka-GE"/>
              </w:rPr>
            </w:pPr>
            <w:r w:rsidRPr="00424D2E">
              <w:rPr>
                <w:rFonts w:ascii="Sylfaen" w:hAnsi="Sylfaen" w:cstheme="minorHAnsi"/>
                <w:b/>
                <w:spacing w:val="-1"/>
                <w:position w:val="1"/>
                <w:lang w:val="ka-GE"/>
              </w:rPr>
              <w:t>ფაზა</w:t>
            </w:r>
          </w:p>
        </w:tc>
        <w:tc>
          <w:tcPr>
            <w:tcW w:w="6030" w:type="dxa"/>
          </w:tcPr>
          <w:p w:rsidR="006D61D3" w:rsidRPr="00424D2E" w:rsidRDefault="006D61D3" w:rsidP="00E643BC">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r w:rsidRPr="00424D2E">
              <w:rPr>
                <w:rFonts w:ascii="Sylfaen" w:hAnsi="Sylfaen" w:cstheme="minorHAnsi"/>
                <w:b/>
                <w:spacing w:val="-1"/>
                <w:position w:val="1"/>
                <w:lang w:val="ka-GE"/>
              </w:rPr>
              <w:t>აქტივობა</w:t>
            </w:r>
          </w:p>
        </w:tc>
        <w:tc>
          <w:tcPr>
            <w:tcW w:w="2070" w:type="dxa"/>
          </w:tcPr>
          <w:p w:rsidR="006D61D3" w:rsidRPr="00424D2E" w:rsidRDefault="006D61D3" w:rsidP="00E643BC">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r w:rsidRPr="00424D2E">
              <w:rPr>
                <w:rFonts w:ascii="Sylfaen" w:hAnsi="Sylfaen" w:cstheme="minorHAnsi"/>
                <w:b/>
                <w:spacing w:val="-1"/>
                <w:position w:val="1"/>
                <w:lang w:val="ka-GE"/>
              </w:rPr>
              <w:t>საორიენტაციო ვადები</w:t>
            </w:r>
          </w:p>
        </w:tc>
        <w:tc>
          <w:tcPr>
            <w:tcW w:w="1800" w:type="dxa"/>
          </w:tcPr>
          <w:p w:rsidR="006D61D3" w:rsidRPr="00424D2E" w:rsidRDefault="006D61D3" w:rsidP="00E643BC">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r w:rsidRPr="00424D2E">
              <w:rPr>
                <w:rFonts w:ascii="Sylfaen" w:hAnsi="Sylfaen" w:cstheme="minorHAnsi"/>
                <w:b/>
                <w:spacing w:val="-1"/>
                <w:position w:val="1"/>
                <w:lang w:val="ka-GE"/>
              </w:rPr>
              <w:t>ღირებულება</w:t>
            </w:r>
          </w:p>
        </w:tc>
        <w:tc>
          <w:tcPr>
            <w:tcW w:w="2965" w:type="dxa"/>
          </w:tcPr>
          <w:p w:rsidR="006D61D3" w:rsidRPr="00424D2E" w:rsidRDefault="006D61D3" w:rsidP="00E643BC">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r w:rsidRPr="00424D2E">
              <w:rPr>
                <w:rFonts w:ascii="Sylfaen" w:hAnsi="Sylfaen" w:cstheme="minorHAnsi"/>
                <w:b/>
                <w:spacing w:val="-1"/>
                <w:position w:val="1"/>
                <w:lang w:val="ka-GE"/>
              </w:rPr>
              <w:t>წარსადგენი დოკუმენტაცია</w:t>
            </w:r>
          </w:p>
        </w:tc>
      </w:tr>
      <w:tr w:rsidR="007A3135" w:rsidRPr="00424D2E" w:rsidTr="00284574">
        <w:tc>
          <w:tcPr>
            <w:tcW w:w="900" w:type="dxa"/>
            <w:vMerge w:val="restart"/>
          </w:tcPr>
          <w:p w:rsidR="007A3135" w:rsidRPr="00424D2E" w:rsidRDefault="007A3135" w:rsidP="007A3135">
            <w:pPr>
              <w:widowControl w:val="0"/>
              <w:tabs>
                <w:tab w:val="left" w:pos="10632"/>
              </w:tabs>
              <w:autoSpaceDE w:val="0"/>
              <w:autoSpaceDN w:val="0"/>
              <w:adjustRightInd w:val="0"/>
              <w:spacing w:after="200" w:line="276" w:lineRule="auto"/>
              <w:ind w:left="-18" w:right="78"/>
              <w:jc w:val="both"/>
              <w:rPr>
                <w:rFonts w:ascii="Sylfaen" w:hAnsi="Sylfaen" w:cstheme="minorHAnsi"/>
                <w:b/>
                <w:spacing w:val="-1"/>
                <w:position w:val="1"/>
                <w:lang w:val="ka-GE"/>
              </w:rPr>
            </w:pPr>
            <w:r w:rsidRPr="00424D2E">
              <w:rPr>
                <w:rFonts w:ascii="Sylfaen" w:hAnsi="Sylfaen" w:cstheme="minorHAnsi"/>
                <w:b/>
                <w:spacing w:val="-1"/>
                <w:position w:val="1"/>
                <w:lang w:val="ka-GE"/>
              </w:rPr>
              <w:t>1</w:t>
            </w:r>
          </w:p>
        </w:tc>
        <w:tc>
          <w:tcPr>
            <w:tcW w:w="6030" w:type="dxa"/>
          </w:tcPr>
          <w:p w:rsidR="007A3135" w:rsidRPr="00424D2E" w:rsidRDefault="007A3135" w:rsidP="007A3135">
            <w:pPr>
              <w:spacing w:before="240" w:after="240" w:line="276" w:lineRule="auto"/>
              <w:jc w:val="both"/>
              <w:rPr>
                <w:rFonts w:ascii="Sylfaen" w:hAnsi="Sylfaen"/>
                <w:lang w:val="ka-GE"/>
              </w:rPr>
            </w:pPr>
            <w:r w:rsidRPr="00424D2E">
              <w:rPr>
                <w:rFonts w:ascii="Sylfaen" w:hAnsi="Sylfaen"/>
                <w:lang w:val="ka-GE"/>
              </w:rPr>
              <w:t>1.1 წინა პროექტის ფარგლებში შემუშავებული საინფორმაციო ფლაერის განახლება და დაბეჭდვა და პაციენტებში გავრცელება</w:t>
            </w:r>
            <w:r w:rsidR="00A35926" w:rsidRPr="00424D2E">
              <w:rPr>
                <w:rFonts w:ascii="Sylfaen" w:hAnsi="Sylfaen"/>
                <w:lang w:val="ka-GE"/>
              </w:rPr>
              <w:t xml:space="preserve"> (2000)</w:t>
            </w:r>
            <w:r w:rsidRPr="00424D2E">
              <w:rPr>
                <w:rFonts w:ascii="Sylfaen" w:hAnsi="Sylfaen"/>
                <w:lang w:val="ka-GE"/>
              </w:rPr>
              <w:t>.</w:t>
            </w:r>
          </w:p>
        </w:tc>
        <w:tc>
          <w:tcPr>
            <w:tcW w:w="2070" w:type="dxa"/>
          </w:tcPr>
          <w:p w:rsidR="007A3135" w:rsidRPr="00424D2E" w:rsidRDefault="007A3135"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1800" w:type="dxa"/>
          </w:tcPr>
          <w:p w:rsidR="007A3135" w:rsidRPr="00424D2E" w:rsidRDefault="007A3135"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2965" w:type="dxa"/>
          </w:tcPr>
          <w:p w:rsidR="007A3135"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spacing w:val="-1"/>
                <w:position w:val="1"/>
                <w:lang w:val="ka-GE"/>
              </w:rPr>
            </w:pPr>
            <w:r w:rsidRPr="00424D2E">
              <w:rPr>
                <w:rFonts w:ascii="Sylfaen" w:hAnsi="Sylfaen" w:cstheme="minorHAnsi"/>
                <w:spacing w:val="-1"/>
                <w:position w:val="1"/>
                <w:lang w:val="ka-GE"/>
              </w:rPr>
              <w:t>დაბეჭდილი საინფორმაციო ფლაერის ნიმუში</w:t>
            </w:r>
          </w:p>
        </w:tc>
      </w:tr>
      <w:tr w:rsidR="007A3135" w:rsidRPr="00424D2E" w:rsidTr="00284574">
        <w:tc>
          <w:tcPr>
            <w:tcW w:w="900" w:type="dxa"/>
            <w:vMerge/>
          </w:tcPr>
          <w:p w:rsidR="007A3135" w:rsidRPr="00424D2E" w:rsidRDefault="007A3135" w:rsidP="007A3135">
            <w:pPr>
              <w:widowControl w:val="0"/>
              <w:tabs>
                <w:tab w:val="left" w:pos="10632"/>
              </w:tabs>
              <w:autoSpaceDE w:val="0"/>
              <w:autoSpaceDN w:val="0"/>
              <w:adjustRightInd w:val="0"/>
              <w:spacing w:after="200" w:line="276" w:lineRule="auto"/>
              <w:ind w:left="-18" w:right="78"/>
              <w:jc w:val="both"/>
              <w:rPr>
                <w:rFonts w:ascii="Sylfaen" w:hAnsi="Sylfaen" w:cstheme="minorHAnsi"/>
                <w:b/>
                <w:spacing w:val="-1"/>
                <w:position w:val="1"/>
                <w:lang w:val="ka-GE"/>
              </w:rPr>
            </w:pPr>
          </w:p>
        </w:tc>
        <w:tc>
          <w:tcPr>
            <w:tcW w:w="6030" w:type="dxa"/>
          </w:tcPr>
          <w:p w:rsidR="007A3135" w:rsidRPr="00424D2E" w:rsidRDefault="007A3135" w:rsidP="00A35926">
            <w:pPr>
              <w:spacing w:before="240" w:after="240" w:line="276" w:lineRule="auto"/>
              <w:jc w:val="both"/>
              <w:rPr>
                <w:rFonts w:ascii="Sylfaen" w:hAnsi="Sylfaen"/>
                <w:lang w:val="ka-GE"/>
              </w:rPr>
            </w:pPr>
            <w:r w:rsidRPr="00424D2E">
              <w:rPr>
                <w:rFonts w:ascii="Sylfaen" w:hAnsi="Sylfaen"/>
                <w:lang w:val="ka-GE"/>
              </w:rPr>
              <w:t>1.2 ჯანმოს მიერ ტუბერკულოზით დაავადებული პაციენტებისთვის შექმნილი სახელმძღვანელოს (A guide for Tuberculosis patients to quit smoking) თარგმნა, ადაპტაცია</w:t>
            </w:r>
            <w:r w:rsidR="00A35926" w:rsidRPr="00424D2E">
              <w:rPr>
                <w:rFonts w:ascii="Sylfaen" w:hAnsi="Sylfaen"/>
                <w:lang w:val="ka-GE"/>
              </w:rPr>
              <w:t>,</w:t>
            </w:r>
            <w:r w:rsidRPr="00424D2E">
              <w:rPr>
                <w:rFonts w:ascii="Sylfaen" w:hAnsi="Sylfaen"/>
                <w:lang w:val="ka-GE"/>
              </w:rPr>
              <w:t xml:space="preserve"> დაბეჭდვა</w:t>
            </w:r>
            <w:r w:rsidR="00A35926" w:rsidRPr="00424D2E">
              <w:rPr>
                <w:rFonts w:ascii="Sylfaen" w:hAnsi="Sylfaen"/>
                <w:lang w:val="ka-GE"/>
              </w:rPr>
              <w:t xml:space="preserve"> (2000) და გავრცელება</w:t>
            </w:r>
            <w:r w:rsidRPr="00424D2E">
              <w:rPr>
                <w:rFonts w:ascii="Sylfaen" w:hAnsi="Sylfaen"/>
                <w:lang w:val="ka-GE"/>
              </w:rPr>
              <w:t>.</w:t>
            </w:r>
          </w:p>
        </w:tc>
        <w:tc>
          <w:tcPr>
            <w:tcW w:w="2070" w:type="dxa"/>
          </w:tcPr>
          <w:p w:rsidR="007A3135" w:rsidRPr="00424D2E" w:rsidRDefault="007A3135"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1800" w:type="dxa"/>
          </w:tcPr>
          <w:p w:rsidR="007A3135" w:rsidRPr="00424D2E" w:rsidRDefault="007A3135"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2965" w:type="dxa"/>
          </w:tcPr>
          <w:p w:rsidR="007A3135"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spacing w:val="-1"/>
                <w:position w:val="1"/>
                <w:lang w:val="ka-GE"/>
              </w:rPr>
            </w:pPr>
            <w:r w:rsidRPr="00424D2E">
              <w:rPr>
                <w:rFonts w:ascii="Sylfaen" w:hAnsi="Sylfaen" w:cstheme="minorHAnsi"/>
                <w:spacing w:val="-1"/>
                <w:position w:val="1"/>
                <w:lang w:val="ka-GE"/>
              </w:rPr>
              <w:t>დაბეჭდილი სახელმძღვანელოს ნიმუში</w:t>
            </w:r>
          </w:p>
        </w:tc>
      </w:tr>
      <w:tr w:rsidR="007A3135" w:rsidRPr="00424D2E" w:rsidTr="00284574">
        <w:tc>
          <w:tcPr>
            <w:tcW w:w="900" w:type="dxa"/>
            <w:vMerge/>
          </w:tcPr>
          <w:p w:rsidR="007A3135" w:rsidRPr="00424D2E" w:rsidRDefault="007A3135" w:rsidP="007A3135">
            <w:pPr>
              <w:widowControl w:val="0"/>
              <w:tabs>
                <w:tab w:val="left" w:pos="10632"/>
              </w:tabs>
              <w:autoSpaceDE w:val="0"/>
              <w:autoSpaceDN w:val="0"/>
              <w:adjustRightInd w:val="0"/>
              <w:spacing w:after="200" w:line="276" w:lineRule="auto"/>
              <w:ind w:left="-18" w:right="78"/>
              <w:jc w:val="both"/>
              <w:rPr>
                <w:rFonts w:ascii="Sylfaen" w:hAnsi="Sylfaen" w:cstheme="minorHAnsi"/>
                <w:b/>
                <w:spacing w:val="-1"/>
                <w:position w:val="1"/>
                <w:lang w:val="ka-GE"/>
              </w:rPr>
            </w:pPr>
          </w:p>
        </w:tc>
        <w:tc>
          <w:tcPr>
            <w:tcW w:w="6030" w:type="dxa"/>
          </w:tcPr>
          <w:p w:rsidR="007A3135" w:rsidRPr="00424D2E" w:rsidRDefault="007A3135"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r w:rsidRPr="00424D2E">
              <w:rPr>
                <w:rFonts w:ascii="Sylfaen" w:hAnsi="Sylfaen" w:cs="Sylfaen"/>
                <w:color w:val="222222"/>
                <w:shd w:val="clear" w:color="auto" w:fill="FFFFFF"/>
                <w:lang w:val="ka-GE"/>
              </w:rPr>
              <w:t>1.3 ექიმებისთვის</w:t>
            </w:r>
            <w:r w:rsidRPr="00424D2E">
              <w:rPr>
                <w:rFonts w:ascii="Arial" w:hAnsi="Arial" w:cs="Arial"/>
                <w:color w:val="222222"/>
                <w:shd w:val="clear" w:color="auto" w:fill="FFFFFF"/>
                <w:lang w:val="ka-GE"/>
              </w:rPr>
              <w:t xml:space="preserve"> </w:t>
            </w:r>
            <w:r w:rsidRPr="00424D2E">
              <w:rPr>
                <w:rFonts w:ascii="Sylfaen" w:hAnsi="Sylfaen" w:cs="Sylfaen"/>
                <w:color w:val="222222"/>
                <w:shd w:val="clear" w:color="auto" w:fill="FFFFFF"/>
                <w:lang w:val="ka-GE"/>
              </w:rPr>
              <w:t>ბუკლეტის შემუშავება</w:t>
            </w:r>
            <w:r w:rsidRPr="00424D2E">
              <w:rPr>
                <w:rFonts w:ascii="Arial" w:hAnsi="Arial" w:cs="Arial"/>
                <w:color w:val="222222"/>
                <w:shd w:val="clear" w:color="auto" w:fill="FFFFFF"/>
                <w:lang w:val="ka-GE"/>
              </w:rPr>
              <w:t xml:space="preserve"> </w:t>
            </w:r>
            <w:r w:rsidRPr="00424D2E">
              <w:rPr>
                <w:rFonts w:ascii="Sylfaen" w:hAnsi="Sylfaen" w:cs="Arial"/>
                <w:color w:val="222222"/>
                <w:shd w:val="clear" w:color="auto" w:fill="FFFFFF"/>
                <w:lang w:val="ka-GE"/>
              </w:rPr>
              <w:t xml:space="preserve">თამბაქოზე დამოკუდებულების </w:t>
            </w:r>
            <w:r w:rsidRPr="00424D2E">
              <w:rPr>
                <w:rFonts w:ascii="Sylfaen" w:hAnsi="Sylfaen" w:cs="Sylfaen"/>
                <w:color w:val="222222"/>
                <w:shd w:val="clear" w:color="auto" w:fill="FFFFFF"/>
                <w:lang w:val="ka-GE"/>
              </w:rPr>
              <w:t>მკურნალობის</w:t>
            </w:r>
            <w:r w:rsidRPr="00424D2E">
              <w:rPr>
                <w:rFonts w:ascii="Arial" w:hAnsi="Arial" w:cs="Arial"/>
                <w:color w:val="222222"/>
                <w:shd w:val="clear" w:color="auto" w:fill="FFFFFF"/>
                <w:lang w:val="ka-GE"/>
              </w:rPr>
              <w:t xml:space="preserve"> </w:t>
            </w:r>
            <w:r w:rsidRPr="00424D2E">
              <w:rPr>
                <w:rFonts w:ascii="Sylfaen" w:hAnsi="Sylfaen" w:cs="Sylfaen"/>
                <w:color w:val="222222"/>
                <w:shd w:val="clear" w:color="auto" w:fill="FFFFFF"/>
                <w:lang w:val="ka-GE"/>
              </w:rPr>
              <w:t>სქემების</w:t>
            </w:r>
            <w:r w:rsidRPr="00424D2E">
              <w:rPr>
                <w:rFonts w:ascii="Arial" w:hAnsi="Arial" w:cs="Arial"/>
                <w:color w:val="222222"/>
                <w:shd w:val="clear" w:color="auto" w:fill="FFFFFF"/>
                <w:lang w:val="ka-GE"/>
              </w:rPr>
              <w:t xml:space="preserve"> </w:t>
            </w:r>
            <w:r w:rsidRPr="00424D2E">
              <w:rPr>
                <w:rFonts w:ascii="Sylfaen" w:hAnsi="Sylfaen" w:cs="Sylfaen"/>
                <w:color w:val="222222"/>
                <w:shd w:val="clear" w:color="auto" w:fill="FFFFFF"/>
                <w:lang w:val="ka-GE"/>
              </w:rPr>
              <w:t>შესახებ, დაბეჭდვა (250) და გავრცელება.</w:t>
            </w:r>
          </w:p>
        </w:tc>
        <w:tc>
          <w:tcPr>
            <w:tcW w:w="2070" w:type="dxa"/>
          </w:tcPr>
          <w:p w:rsidR="007A3135" w:rsidRPr="00424D2E" w:rsidRDefault="007A3135"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1800" w:type="dxa"/>
          </w:tcPr>
          <w:p w:rsidR="007A3135" w:rsidRPr="00424D2E" w:rsidRDefault="007A3135"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2965" w:type="dxa"/>
          </w:tcPr>
          <w:p w:rsidR="007A3135"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r w:rsidRPr="00424D2E">
              <w:rPr>
                <w:rFonts w:ascii="Sylfaen" w:hAnsi="Sylfaen" w:cstheme="minorHAnsi"/>
                <w:spacing w:val="-1"/>
                <w:position w:val="1"/>
                <w:lang w:val="ka-GE"/>
              </w:rPr>
              <w:t>დაბეჭდილი ბუკლეტის ნიმუში</w:t>
            </w:r>
          </w:p>
        </w:tc>
      </w:tr>
      <w:tr w:rsidR="00A35926" w:rsidRPr="00424D2E" w:rsidTr="00284574">
        <w:tc>
          <w:tcPr>
            <w:tcW w:w="900" w:type="dxa"/>
            <w:vMerge w:val="restart"/>
          </w:tcPr>
          <w:p w:rsidR="00A35926" w:rsidRPr="00424D2E" w:rsidRDefault="00A35926" w:rsidP="007A3135">
            <w:pPr>
              <w:spacing w:before="240" w:after="240" w:line="276" w:lineRule="auto"/>
              <w:jc w:val="both"/>
              <w:rPr>
                <w:rFonts w:ascii="Sylfaen" w:hAnsi="Sylfaen" w:cstheme="minorHAnsi"/>
                <w:b/>
                <w:spacing w:val="-1"/>
                <w:position w:val="1"/>
                <w:lang w:val="ka-GE"/>
              </w:rPr>
            </w:pPr>
            <w:r w:rsidRPr="00424D2E">
              <w:rPr>
                <w:rFonts w:ascii="Sylfaen" w:hAnsi="Sylfaen" w:cstheme="minorHAnsi"/>
                <w:b/>
                <w:spacing w:val="-1"/>
                <w:position w:val="1"/>
                <w:lang w:val="ka-GE"/>
              </w:rPr>
              <w:t>2</w:t>
            </w:r>
          </w:p>
        </w:tc>
        <w:tc>
          <w:tcPr>
            <w:tcW w:w="6030" w:type="dxa"/>
          </w:tcPr>
          <w:p w:rsidR="00A35926"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r w:rsidRPr="00424D2E">
              <w:rPr>
                <w:rFonts w:ascii="Sylfaen" w:hAnsi="Sylfaen" w:cs="Sylfaen"/>
                <w:color w:val="000000"/>
                <w:lang w:val="ka-GE"/>
              </w:rPr>
              <w:t>2.1 დამყოლობის სამსახურის გადამზადება თამბაქოს მოხმარების შეწყვეტის კონსულტირების თემაზე</w:t>
            </w:r>
          </w:p>
        </w:tc>
        <w:tc>
          <w:tcPr>
            <w:tcW w:w="2070" w:type="dxa"/>
          </w:tcPr>
          <w:p w:rsidR="00A35926"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1800" w:type="dxa"/>
          </w:tcPr>
          <w:p w:rsidR="00A35926"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2965" w:type="dxa"/>
          </w:tcPr>
          <w:p w:rsidR="00A35926"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spacing w:val="-1"/>
                <w:position w:val="1"/>
                <w:lang w:val="ka-GE"/>
              </w:rPr>
            </w:pPr>
            <w:r w:rsidRPr="00424D2E">
              <w:rPr>
                <w:rFonts w:ascii="Sylfaen" w:hAnsi="Sylfaen" w:cstheme="minorHAnsi"/>
                <w:spacing w:val="-1"/>
                <w:position w:val="1"/>
                <w:lang w:val="ka-GE"/>
              </w:rPr>
              <w:t>ტრენინგის მასალები, დამსწრეთა სია</w:t>
            </w:r>
          </w:p>
        </w:tc>
      </w:tr>
      <w:tr w:rsidR="00A35926" w:rsidRPr="00424D2E" w:rsidTr="00284574">
        <w:tc>
          <w:tcPr>
            <w:tcW w:w="900" w:type="dxa"/>
            <w:vMerge/>
          </w:tcPr>
          <w:p w:rsidR="00A35926" w:rsidRPr="00424D2E" w:rsidRDefault="00A35926" w:rsidP="007A3135">
            <w:pPr>
              <w:spacing w:before="240" w:after="240" w:line="276" w:lineRule="auto"/>
              <w:jc w:val="both"/>
              <w:rPr>
                <w:rFonts w:ascii="Sylfaen" w:hAnsi="Sylfaen" w:cs="Sylfaen"/>
                <w:color w:val="000000"/>
                <w:lang w:val="ka-GE"/>
              </w:rPr>
            </w:pPr>
          </w:p>
        </w:tc>
        <w:tc>
          <w:tcPr>
            <w:tcW w:w="6030" w:type="dxa"/>
          </w:tcPr>
          <w:p w:rsidR="00A35926"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Sylfaen"/>
                <w:color w:val="000000"/>
                <w:lang w:val="ka-GE"/>
              </w:rPr>
            </w:pPr>
            <w:r w:rsidRPr="00424D2E">
              <w:rPr>
                <w:rFonts w:ascii="Sylfaen" w:hAnsi="Sylfaen" w:cs="Sylfaen"/>
                <w:color w:val="000000"/>
                <w:lang w:val="ka-GE"/>
              </w:rPr>
              <w:t>2.2 პროექტის ფარგლებში ჩართული ბაზის მენეჯერების ვორქშოფი</w:t>
            </w:r>
          </w:p>
        </w:tc>
        <w:tc>
          <w:tcPr>
            <w:tcW w:w="2070" w:type="dxa"/>
          </w:tcPr>
          <w:p w:rsidR="00A35926"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1800" w:type="dxa"/>
          </w:tcPr>
          <w:p w:rsidR="00A35926"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2965" w:type="dxa"/>
          </w:tcPr>
          <w:p w:rsidR="00A35926"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spacing w:val="-1"/>
                <w:position w:val="1"/>
                <w:lang w:val="ka-GE"/>
              </w:rPr>
            </w:pPr>
            <w:r w:rsidRPr="00424D2E">
              <w:rPr>
                <w:rFonts w:ascii="Sylfaen" w:hAnsi="Sylfaen" w:cstheme="minorHAnsi"/>
                <w:spacing w:val="-1"/>
                <w:position w:val="1"/>
                <w:lang w:val="ka-GE"/>
              </w:rPr>
              <w:t>ვორქშოფის ამსახველი მასალები, დამსწრეთა სია</w:t>
            </w:r>
          </w:p>
        </w:tc>
      </w:tr>
      <w:tr w:rsidR="00A35926" w:rsidRPr="00424D2E" w:rsidTr="00284574">
        <w:tc>
          <w:tcPr>
            <w:tcW w:w="900" w:type="dxa"/>
            <w:vMerge/>
          </w:tcPr>
          <w:p w:rsidR="00A35926" w:rsidRPr="00424D2E" w:rsidRDefault="00A35926" w:rsidP="007A3135">
            <w:pPr>
              <w:spacing w:before="240" w:after="240" w:line="276" w:lineRule="auto"/>
              <w:jc w:val="both"/>
              <w:rPr>
                <w:rFonts w:ascii="Sylfaen" w:hAnsi="Sylfaen" w:cs="Sylfaen"/>
                <w:color w:val="000000"/>
                <w:lang w:val="ka-GE"/>
              </w:rPr>
            </w:pPr>
          </w:p>
        </w:tc>
        <w:tc>
          <w:tcPr>
            <w:tcW w:w="6030" w:type="dxa"/>
          </w:tcPr>
          <w:p w:rsidR="00A35926"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Sylfaen"/>
                <w:color w:val="000000"/>
                <w:lang w:val="ka-GE"/>
              </w:rPr>
            </w:pPr>
            <w:r w:rsidRPr="00424D2E">
              <w:rPr>
                <w:rFonts w:ascii="Sylfaen" w:hAnsi="Sylfaen" w:cs="Sylfaen"/>
                <w:color w:val="000000"/>
                <w:lang w:val="ka-GE"/>
              </w:rPr>
              <w:t>2.3 პროექტის ფარგლებში ჩართული ბაზის მენეჯერების მონიტორინგი და სუპერვიზია.</w:t>
            </w:r>
          </w:p>
        </w:tc>
        <w:tc>
          <w:tcPr>
            <w:tcW w:w="2070" w:type="dxa"/>
          </w:tcPr>
          <w:p w:rsidR="00A35926"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1800" w:type="dxa"/>
          </w:tcPr>
          <w:p w:rsidR="00A35926"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2965" w:type="dxa"/>
          </w:tcPr>
          <w:p w:rsidR="00A35926"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spacing w:val="-1"/>
                <w:position w:val="1"/>
                <w:lang w:val="ka-GE"/>
              </w:rPr>
            </w:pPr>
            <w:r w:rsidRPr="00424D2E">
              <w:rPr>
                <w:rFonts w:ascii="Sylfaen" w:hAnsi="Sylfaen" w:cstheme="minorHAnsi"/>
                <w:spacing w:val="-1"/>
                <w:position w:val="1"/>
                <w:lang w:val="ka-GE"/>
              </w:rPr>
              <w:t>მონიტორინგის და სუპერვიზიის ანგარიში</w:t>
            </w:r>
          </w:p>
        </w:tc>
      </w:tr>
      <w:tr w:rsidR="00A35926" w:rsidRPr="00424D2E" w:rsidTr="00284574">
        <w:tc>
          <w:tcPr>
            <w:tcW w:w="900" w:type="dxa"/>
            <w:vMerge/>
          </w:tcPr>
          <w:p w:rsidR="00A35926" w:rsidRPr="00424D2E" w:rsidRDefault="00A35926" w:rsidP="007A3135">
            <w:pPr>
              <w:spacing w:before="240" w:after="240" w:line="276" w:lineRule="auto"/>
              <w:jc w:val="both"/>
              <w:rPr>
                <w:rFonts w:ascii="Sylfaen" w:hAnsi="Sylfaen" w:cs="Sylfaen"/>
                <w:color w:val="000000"/>
                <w:lang w:val="ka-GE"/>
              </w:rPr>
            </w:pPr>
          </w:p>
        </w:tc>
        <w:tc>
          <w:tcPr>
            <w:tcW w:w="6030" w:type="dxa"/>
          </w:tcPr>
          <w:p w:rsidR="00A35926" w:rsidRPr="00424D2E" w:rsidRDefault="00A35926" w:rsidP="00A35926">
            <w:pPr>
              <w:spacing w:before="240" w:after="240" w:line="276" w:lineRule="auto"/>
              <w:jc w:val="both"/>
              <w:rPr>
                <w:rFonts w:ascii="Sylfaen" w:hAnsi="Sylfaen" w:cs="Sylfaen"/>
                <w:color w:val="000000"/>
                <w:lang w:val="ka-GE"/>
              </w:rPr>
            </w:pPr>
            <w:r w:rsidRPr="00424D2E">
              <w:rPr>
                <w:rFonts w:ascii="Sylfaen" w:hAnsi="Sylfaen" w:cs="Sylfaen"/>
                <w:color w:val="000000"/>
                <w:lang w:val="ka-GE"/>
              </w:rPr>
              <w:t xml:space="preserve">2.4 ექიმებისთვის (100 ექიმი) სემინარის ჩატარება </w:t>
            </w:r>
            <w:r w:rsidRPr="00424D2E">
              <w:rPr>
                <w:rFonts w:ascii="Sylfaen" w:hAnsi="Sylfaen" w:cs="Arial"/>
                <w:color w:val="222222"/>
                <w:shd w:val="clear" w:color="auto" w:fill="FFFFFF"/>
                <w:lang w:val="ka-GE"/>
              </w:rPr>
              <w:t xml:space="preserve">თამბაქოზე დამოკიდებულების </w:t>
            </w:r>
            <w:r w:rsidRPr="00424D2E">
              <w:rPr>
                <w:rFonts w:ascii="Sylfaen" w:hAnsi="Sylfaen" w:cs="Sylfaen"/>
                <w:color w:val="222222"/>
                <w:shd w:val="clear" w:color="auto" w:fill="FFFFFF"/>
                <w:lang w:val="ka-GE"/>
              </w:rPr>
              <w:t>მკურნალობის თემაზე.</w:t>
            </w:r>
          </w:p>
        </w:tc>
        <w:tc>
          <w:tcPr>
            <w:tcW w:w="2070" w:type="dxa"/>
          </w:tcPr>
          <w:p w:rsidR="00A35926"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1800" w:type="dxa"/>
          </w:tcPr>
          <w:p w:rsidR="00A35926"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2965" w:type="dxa"/>
          </w:tcPr>
          <w:p w:rsidR="00A35926" w:rsidRPr="00424D2E" w:rsidRDefault="00A35926" w:rsidP="00A35926">
            <w:pPr>
              <w:widowControl w:val="0"/>
              <w:tabs>
                <w:tab w:val="left" w:pos="10632"/>
              </w:tabs>
              <w:autoSpaceDE w:val="0"/>
              <w:autoSpaceDN w:val="0"/>
              <w:adjustRightInd w:val="0"/>
              <w:spacing w:after="200" w:line="276" w:lineRule="auto"/>
              <w:ind w:right="78"/>
              <w:jc w:val="both"/>
              <w:rPr>
                <w:rFonts w:ascii="Sylfaen" w:hAnsi="Sylfaen" w:cstheme="minorHAnsi"/>
                <w:spacing w:val="-1"/>
                <w:position w:val="1"/>
                <w:lang w:val="ka-GE"/>
              </w:rPr>
            </w:pPr>
            <w:r w:rsidRPr="00424D2E">
              <w:rPr>
                <w:rFonts w:ascii="Sylfaen" w:hAnsi="Sylfaen" w:cstheme="minorHAnsi"/>
                <w:spacing w:val="-1"/>
                <w:position w:val="1"/>
                <w:lang w:val="ka-GE"/>
              </w:rPr>
              <w:t>სემინარის მასალები, დამსწრეთა სია</w:t>
            </w:r>
          </w:p>
        </w:tc>
      </w:tr>
      <w:tr w:rsidR="007A3135" w:rsidRPr="00424D2E" w:rsidTr="00284574">
        <w:tc>
          <w:tcPr>
            <w:tcW w:w="900" w:type="dxa"/>
          </w:tcPr>
          <w:p w:rsidR="007A3135" w:rsidRPr="00424D2E" w:rsidRDefault="00A35926" w:rsidP="00A35926">
            <w:pPr>
              <w:spacing w:before="240" w:after="240" w:line="276" w:lineRule="auto"/>
              <w:jc w:val="both"/>
              <w:rPr>
                <w:rFonts w:ascii="Sylfaen" w:hAnsi="Sylfaen" w:cstheme="minorHAnsi"/>
                <w:b/>
                <w:spacing w:val="-1"/>
                <w:position w:val="1"/>
                <w:lang w:val="ka-GE"/>
              </w:rPr>
            </w:pPr>
            <w:r w:rsidRPr="00424D2E">
              <w:rPr>
                <w:rFonts w:ascii="Sylfaen" w:hAnsi="Sylfaen" w:cstheme="minorHAnsi"/>
                <w:b/>
                <w:spacing w:val="-1"/>
                <w:position w:val="1"/>
                <w:lang w:val="ka-GE"/>
              </w:rPr>
              <w:lastRenderedPageBreak/>
              <w:t>3</w:t>
            </w:r>
          </w:p>
        </w:tc>
        <w:tc>
          <w:tcPr>
            <w:tcW w:w="6030" w:type="dxa"/>
          </w:tcPr>
          <w:p w:rsidR="007A3135" w:rsidRPr="00424D2E" w:rsidRDefault="00A35926" w:rsidP="007A3135">
            <w:pPr>
              <w:spacing w:before="240" w:after="240" w:line="276" w:lineRule="auto"/>
              <w:jc w:val="both"/>
              <w:rPr>
                <w:rFonts w:ascii="Sylfaen" w:hAnsi="Sylfaen"/>
                <w:lang w:val="ka-GE"/>
              </w:rPr>
            </w:pPr>
            <w:r w:rsidRPr="00424D2E">
              <w:rPr>
                <w:rFonts w:ascii="Sylfaen" w:hAnsi="Sylfaen"/>
                <w:lang w:val="ka-GE"/>
              </w:rPr>
              <w:t>3.1 ტუბერკულოზით დაავადებულ პაციენტებში თამბაქოს მოხმარების და მისი შეწყვეტის ხელშეწყობის მიზნით განხორციელებული აქტივობების შესახებ ინფორმაციის შეგროვება</w:t>
            </w:r>
            <w:r w:rsidRPr="00424D2E">
              <w:rPr>
                <w:rFonts w:ascii="Sylfaen" w:hAnsi="Sylfaen"/>
              </w:rPr>
              <w:t>,</w:t>
            </w:r>
            <w:r w:rsidRPr="00424D2E">
              <w:rPr>
                <w:rFonts w:ascii="Sylfaen" w:hAnsi="Sylfaen"/>
                <w:lang w:val="ka-GE"/>
              </w:rPr>
              <w:t xml:space="preserve"> ანალიზი</w:t>
            </w:r>
            <w:r w:rsidRPr="00424D2E">
              <w:rPr>
                <w:rFonts w:ascii="Sylfaen" w:hAnsi="Sylfaen"/>
              </w:rPr>
              <w:t xml:space="preserve"> </w:t>
            </w:r>
            <w:r w:rsidRPr="00424D2E">
              <w:rPr>
                <w:rFonts w:ascii="Sylfaen" w:hAnsi="Sylfaen"/>
                <w:lang w:val="ka-GE"/>
              </w:rPr>
              <w:t>და პუბლიკაციის მომზადება.</w:t>
            </w:r>
          </w:p>
        </w:tc>
        <w:tc>
          <w:tcPr>
            <w:tcW w:w="2070" w:type="dxa"/>
          </w:tcPr>
          <w:p w:rsidR="007A3135" w:rsidRPr="00424D2E" w:rsidRDefault="007A3135"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1800" w:type="dxa"/>
          </w:tcPr>
          <w:p w:rsidR="007A3135" w:rsidRPr="00424D2E" w:rsidRDefault="007A3135"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2965" w:type="dxa"/>
          </w:tcPr>
          <w:p w:rsidR="007A3135"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spacing w:val="-1"/>
                <w:position w:val="1"/>
                <w:lang w:val="ka-GE"/>
              </w:rPr>
            </w:pPr>
            <w:r w:rsidRPr="00424D2E">
              <w:rPr>
                <w:rFonts w:ascii="Sylfaen" w:hAnsi="Sylfaen" w:cstheme="minorHAnsi"/>
                <w:spacing w:val="-1"/>
                <w:position w:val="1"/>
                <w:lang w:val="ka-GE"/>
              </w:rPr>
              <w:t>ანალიზის შედეგების ამსახველი ანგარიში</w:t>
            </w:r>
          </w:p>
        </w:tc>
      </w:tr>
      <w:tr w:rsidR="007A3135" w:rsidRPr="00424D2E" w:rsidTr="008A7928">
        <w:tc>
          <w:tcPr>
            <w:tcW w:w="900" w:type="dxa"/>
          </w:tcPr>
          <w:p w:rsidR="007A3135" w:rsidRPr="00424D2E" w:rsidRDefault="007A3135" w:rsidP="007A3135">
            <w:pPr>
              <w:spacing w:before="240" w:after="240" w:line="276" w:lineRule="auto"/>
              <w:jc w:val="both"/>
              <w:rPr>
                <w:rFonts w:ascii="Sylfaen" w:hAnsi="Sylfaen" w:cs="Sylfaen"/>
                <w:color w:val="000000"/>
                <w:lang w:val="ka-GE"/>
              </w:rPr>
            </w:pPr>
          </w:p>
        </w:tc>
        <w:tc>
          <w:tcPr>
            <w:tcW w:w="6030" w:type="dxa"/>
            <w:tcBorders>
              <w:bottom w:val="single" w:sz="4" w:space="0" w:color="auto"/>
            </w:tcBorders>
          </w:tcPr>
          <w:p w:rsidR="007A3135" w:rsidRPr="00424D2E" w:rsidRDefault="00A35926" w:rsidP="007A3135">
            <w:pPr>
              <w:spacing w:before="240" w:after="240" w:line="276" w:lineRule="auto"/>
              <w:jc w:val="both"/>
              <w:rPr>
                <w:rFonts w:ascii="Sylfaen" w:hAnsi="Sylfaen"/>
                <w:lang w:val="ka-GE"/>
              </w:rPr>
            </w:pPr>
            <w:r w:rsidRPr="00424D2E">
              <w:rPr>
                <w:rFonts w:ascii="Sylfaen" w:hAnsi="Sylfaen" w:cs="Sylfaen"/>
                <w:color w:val="000000"/>
                <w:lang w:val="ka-GE"/>
              </w:rPr>
              <w:t>3.2 შეხვედრის ჩატარება დაინტერესებული მხარეების მონაწილეობით (ტუბერკულოზის პროგრამაში მონაწილე, სახელმწიფო სტრუქტურები, სამედიცინო სერვისის პროვაიდერები, საერთაშორისო სააგენროები და სათემო ორგანიზაციები), სადაც წარმოდგენილი იქნება ანალიზის შედეგები და საერთაშორისო საუკეთესო პრაქტიკა.</w:t>
            </w:r>
          </w:p>
        </w:tc>
        <w:tc>
          <w:tcPr>
            <w:tcW w:w="2070" w:type="dxa"/>
            <w:tcBorders>
              <w:bottom w:val="single" w:sz="4" w:space="0" w:color="auto"/>
            </w:tcBorders>
          </w:tcPr>
          <w:p w:rsidR="007A3135" w:rsidRPr="00424D2E" w:rsidRDefault="007A3135"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1800" w:type="dxa"/>
          </w:tcPr>
          <w:p w:rsidR="007A3135" w:rsidRPr="00424D2E" w:rsidRDefault="007A3135"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2965" w:type="dxa"/>
          </w:tcPr>
          <w:p w:rsidR="007A3135" w:rsidRPr="00424D2E" w:rsidRDefault="00A35926" w:rsidP="007A3135">
            <w:pPr>
              <w:widowControl w:val="0"/>
              <w:tabs>
                <w:tab w:val="left" w:pos="10632"/>
              </w:tabs>
              <w:autoSpaceDE w:val="0"/>
              <w:autoSpaceDN w:val="0"/>
              <w:adjustRightInd w:val="0"/>
              <w:spacing w:after="200" w:line="276" w:lineRule="auto"/>
              <w:ind w:right="78"/>
              <w:jc w:val="both"/>
              <w:rPr>
                <w:rFonts w:ascii="Sylfaen" w:hAnsi="Sylfaen" w:cstheme="minorHAnsi"/>
                <w:spacing w:val="-1"/>
                <w:position w:val="1"/>
                <w:lang w:val="ka-GE"/>
              </w:rPr>
            </w:pPr>
            <w:r w:rsidRPr="00424D2E">
              <w:rPr>
                <w:rFonts w:ascii="Sylfaen" w:hAnsi="Sylfaen" w:cstheme="minorHAnsi"/>
                <w:spacing w:val="-1"/>
                <w:position w:val="1"/>
                <w:lang w:val="ka-GE"/>
              </w:rPr>
              <w:t>შეხვედრის ამსახველი მასალები, დამსწრეთა სია</w:t>
            </w:r>
          </w:p>
        </w:tc>
      </w:tr>
      <w:tr w:rsidR="00243B66" w:rsidRPr="00424D2E" w:rsidTr="008A7928">
        <w:tc>
          <w:tcPr>
            <w:tcW w:w="900" w:type="dxa"/>
          </w:tcPr>
          <w:p w:rsidR="00243B66" w:rsidRPr="00424D2E" w:rsidRDefault="00243B66" w:rsidP="00243B66">
            <w:pPr>
              <w:spacing w:before="240" w:after="240" w:line="276" w:lineRule="auto"/>
              <w:jc w:val="both"/>
              <w:rPr>
                <w:rFonts w:ascii="Sylfaen" w:hAnsi="Sylfaen" w:cs="Sylfaen"/>
                <w:color w:val="000000"/>
                <w:lang w:val="ka-GE"/>
              </w:rPr>
            </w:pPr>
          </w:p>
        </w:tc>
        <w:tc>
          <w:tcPr>
            <w:tcW w:w="6030" w:type="dxa"/>
            <w:tcBorders>
              <w:bottom w:val="single" w:sz="4" w:space="0" w:color="auto"/>
              <w:right w:val="nil"/>
            </w:tcBorders>
          </w:tcPr>
          <w:p w:rsidR="00243B66" w:rsidRPr="008A7928" w:rsidRDefault="00243B66" w:rsidP="00243B66">
            <w:r w:rsidRPr="008A7928">
              <w:rPr>
                <w:rFonts w:ascii="Sylfaen" w:eastAsia="Sylfaen" w:hAnsi="Sylfaen" w:cs="Sylfaen"/>
                <w:lang w:val="ka-GE"/>
              </w:rPr>
              <w:t>მომსახურების ჯამური ღირებულება:</w:t>
            </w:r>
          </w:p>
        </w:tc>
        <w:tc>
          <w:tcPr>
            <w:tcW w:w="2070" w:type="dxa"/>
            <w:tcBorders>
              <w:left w:val="nil"/>
              <w:bottom w:val="single" w:sz="4" w:space="0" w:color="auto"/>
            </w:tcBorders>
          </w:tcPr>
          <w:p w:rsidR="00243B66" w:rsidRDefault="00243B66" w:rsidP="00243B66"/>
        </w:tc>
        <w:tc>
          <w:tcPr>
            <w:tcW w:w="1800" w:type="dxa"/>
          </w:tcPr>
          <w:p w:rsidR="00243B66" w:rsidRPr="00424D2E" w:rsidRDefault="00243B66" w:rsidP="00243B66">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2965" w:type="dxa"/>
          </w:tcPr>
          <w:p w:rsidR="00243B66" w:rsidRPr="00424D2E" w:rsidRDefault="00243B66" w:rsidP="00243B66">
            <w:pPr>
              <w:widowControl w:val="0"/>
              <w:tabs>
                <w:tab w:val="left" w:pos="10632"/>
              </w:tabs>
              <w:autoSpaceDE w:val="0"/>
              <w:autoSpaceDN w:val="0"/>
              <w:adjustRightInd w:val="0"/>
              <w:spacing w:after="200" w:line="276" w:lineRule="auto"/>
              <w:ind w:right="78"/>
              <w:jc w:val="both"/>
              <w:rPr>
                <w:rFonts w:ascii="Sylfaen" w:hAnsi="Sylfaen" w:cstheme="minorHAnsi"/>
                <w:spacing w:val="-1"/>
                <w:position w:val="1"/>
                <w:lang w:val="ka-GE"/>
              </w:rPr>
            </w:pPr>
          </w:p>
        </w:tc>
      </w:tr>
      <w:tr w:rsidR="00243B66" w:rsidRPr="00424D2E" w:rsidTr="008A7928">
        <w:tc>
          <w:tcPr>
            <w:tcW w:w="900" w:type="dxa"/>
          </w:tcPr>
          <w:p w:rsidR="00243B66" w:rsidRPr="00424D2E" w:rsidRDefault="00243B66" w:rsidP="007A3135">
            <w:pPr>
              <w:spacing w:before="240" w:after="240" w:line="276" w:lineRule="auto"/>
              <w:jc w:val="both"/>
              <w:rPr>
                <w:rFonts w:ascii="Sylfaen" w:hAnsi="Sylfaen" w:cs="Sylfaen"/>
                <w:color w:val="000000"/>
                <w:lang w:val="ka-GE"/>
              </w:rPr>
            </w:pPr>
          </w:p>
        </w:tc>
        <w:tc>
          <w:tcPr>
            <w:tcW w:w="6030" w:type="dxa"/>
            <w:tcBorders>
              <w:right w:val="nil"/>
            </w:tcBorders>
          </w:tcPr>
          <w:p w:rsidR="00243B66" w:rsidRPr="008A7928" w:rsidRDefault="008A7928" w:rsidP="007A3135">
            <w:pPr>
              <w:spacing w:before="240" w:after="240" w:line="276" w:lineRule="auto"/>
              <w:jc w:val="both"/>
              <w:rPr>
                <w:rFonts w:ascii="Sylfaen" w:hAnsi="Sylfaen" w:cs="Sylfaen"/>
                <w:color w:val="000000"/>
                <w:lang w:val="ka-GE"/>
              </w:rPr>
            </w:pPr>
            <w:r w:rsidRPr="008A7928">
              <w:rPr>
                <w:rFonts w:ascii="Sylfaen" w:eastAsia="Sylfaen" w:hAnsi="Sylfaen" w:cs="Sylfaen"/>
                <w:lang w:val="ka-GE"/>
              </w:rPr>
              <w:t>მათ შორის დღგ:</w:t>
            </w:r>
          </w:p>
        </w:tc>
        <w:tc>
          <w:tcPr>
            <w:tcW w:w="2070" w:type="dxa"/>
            <w:tcBorders>
              <w:left w:val="nil"/>
            </w:tcBorders>
          </w:tcPr>
          <w:p w:rsidR="00243B66" w:rsidRPr="00424D2E" w:rsidRDefault="00243B66"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1800" w:type="dxa"/>
          </w:tcPr>
          <w:p w:rsidR="00243B66" w:rsidRPr="00424D2E" w:rsidRDefault="00243B66" w:rsidP="007A3135">
            <w:pPr>
              <w:widowControl w:val="0"/>
              <w:tabs>
                <w:tab w:val="left" w:pos="10632"/>
              </w:tabs>
              <w:autoSpaceDE w:val="0"/>
              <w:autoSpaceDN w:val="0"/>
              <w:adjustRightInd w:val="0"/>
              <w:spacing w:after="200" w:line="276" w:lineRule="auto"/>
              <w:ind w:right="78"/>
              <w:jc w:val="both"/>
              <w:rPr>
                <w:rFonts w:ascii="Sylfaen" w:hAnsi="Sylfaen" w:cstheme="minorHAnsi"/>
                <w:b/>
                <w:spacing w:val="-1"/>
                <w:position w:val="1"/>
                <w:lang w:val="ka-GE"/>
              </w:rPr>
            </w:pPr>
          </w:p>
        </w:tc>
        <w:tc>
          <w:tcPr>
            <w:tcW w:w="2965" w:type="dxa"/>
          </w:tcPr>
          <w:p w:rsidR="00243B66" w:rsidRPr="00424D2E" w:rsidRDefault="00243B66" w:rsidP="007A3135">
            <w:pPr>
              <w:widowControl w:val="0"/>
              <w:tabs>
                <w:tab w:val="left" w:pos="10632"/>
              </w:tabs>
              <w:autoSpaceDE w:val="0"/>
              <w:autoSpaceDN w:val="0"/>
              <w:adjustRightInd w:val="0"/>
              <w:spacing w:after="200" w:line="276" w:lineRule="auto"/>
              <w:ind w:right="78"/>
              <w:jc w:val="both"/>
              <w:rPr>
                <w:rFonts w:ascii="Sylfaen" w:hAnsi="Sylfaen" w:cstheme="minorHAnsi"/>
                <w:spacing w:val="-1"/>
                <w:position w:val="1"/>
                <w:lang w:val="ka-GE"/>
              </w:rPr>
            </w:pPr>
          </w:p>
        </w:tc>
      </w:tr>
    </w:tbl>
    <w:p w:rsidR="008A7928" w:rsidRDefault="008A7928" w:rsidP="00243B66">
      <w:pPr>
        <w:pStyle w:val="Default"/>
        <w:jc w:val="both"/>
        <w:rPr>
          <w:b/>
          <w:i/>
          <w:color w:val="auto"/>
          <w:sz w:val="20"/>
          <w:szCs w:val="20"/>
          <w:u w:val="single"/>
          <w:lang w:val="ka-GE"/>
        </w:rPr>
      </w:pPr>
    </w:p>
    <w:p w:rsidR="00243B66" w:rsidRPr="007D7BF2" w:rsidRDefault="008A7928" w:rsidP="00243B66">
      <w:pPr>
        <w:pStyle w:val="Default"/>
        <w:jc w:val="both"/>
        <w:rPr>
          <w:b/>
          <w:i/>
          <w:color w:val="auto"/>
          <w:sz w:val="20"/>
          <w:szCs w:val="20"/>
          <w:u w:val="single"/>
          <w:lang w:val="ka-GE"/>
        </w:rPr>
        <w:sectPr w:rsidR="00243B66" w:rsidRPr="007D7BF2" w:rsidSect="00001028">
          <w:pgSz w:w="16838" w:h="11906" w:orient="landscape"/>
          <w:pgMar w:top="450" w:right="1138" w:bottom="270" w:left="1138" w:header="706" w:footer="706" w:gutter="0"/>
          <w:cols w:space="708"/>
          <w:docGrid w:linePitch="360"/>
        </w:sectPr>
      </w:pPr>
      <w:r>
        <w:rPr>
          <w:b/>
          <w:i/>
          <w:color w:val="auto"/>
          <w:sz w:val="20"/>
          <w:szCs w:val="20"/>
          <w:u w:val="single"/>
          <w:lang w:val="ka-GE"/>
        </w:rPr>
        <w:t>წ</w:t>
      </w:r>
      <w:r w:rsidR="00243B66">
        <w:rPr>
          <w:b/>
          <w:i/>
          <w:color w:val="auto"/>
          <w:sz w:val="20"/>
          <w:szCs w:val="20"/>
          <w:u w:val="single"/>
          <w:lang w:val="ka-GE"/>
        </w:rPr>
        <w:t xml:space="preserve">არმოგენილი </w:t>
      </w:r>
      <w:r w:rsidR="00243B66" w:rsidRPr="00CA71A5">
        <w:rPr>
          <w:b/>
          <w:i/>
          <w:color w:val="auto"/>
          <w:sz w:val="20"/>
          <w:szCs w:val="20"/>
          <w:u w:val="single"/>
          <w:lang w:val="ka-GE"/>
        </w:rPr>
        <w:t>ღირებულება უნდა მოიცავდეს მომსახურებასთან დაკავშირებულ ყველა ხარჯსა და კანონმდებლობით გათვალისწინებულ გადასახადებს. ხარჯები, რომლებიც სატენდერო წინადადების ფასში არ იქნება გათვალისწინებული, არ დაექვემდებარება ანაზღაურებას.</w:t>
      </w:r>
      <w:r w:rsidR="00243B66">
        <w:rPr>
          <w:b/>
          <w:i/>
          <w:color w:val="auto"/>
          <w:sz w:val="20"/>
          <w:szCs w:val="20"/>
          <w:u w:val="single"/>
          <w:lang w:val="ka-GE"/>
        </w:rPr>
        <w:t xml:space="preserve"> </w:t>
      </w:r>
      <w:r w:rsidR="00243B66" w:rsidRPr="007D7BF2">
        <w:rPr>
          <w:b/>
          <w:i/>
          <w:color w:val="auto"/>
          <w:sz w:val="20"/>
          <w:szCs w:val="20"/>
          <w:u w:val="single"/>
          <w:lang w:val="ka-GE"/>
        </w:rPr>
        <w:t>ტრენინგების ანაზღაურება განხორციელდება  გადასამზადებელი პერსონალის რაოდენობის მიხედვით</w:t>
      </w:r>
      <w:r w:rsidR="00243B66">
        <w:rPr>
          <w:b/>
          <w:i/>
          <w:color w:val="auto"/>
          <w:sz w:val="20"/>
          <w:szCs w:val="20"/>
          <w:u w:val="single"/>
          <w:lang w:val="ka-GE"/>
        </w:rPr>
        <w:t>.</w:t>
      </w:r>
    </w:p>
    <w:p w:rsidR="00B73F3E" w:rsidRPr="00424D2E" w:rsidRDefault="00B73F3E" w:rsidP="00B73F3E">
      <w:pPr>
        <w:spacing w:before="240" w:after="240" w:line="276" w:lineRule="auto"/>
        <w:jc w:val="both"/>
        <w:rPr>
          <w:rFonts w:ascii="Sylfaen" w:hAnsi="Sylfaen" w:cs="Sylfaen"/>
          <w:color w:val="000000"/>
          <w:lang w:val="ka-GE"/>
        </w:rPr>
      </w:pPr>
    </w:p>
    <w:sectPr w:rsidR="00B73F3E" w:rsidRPr="00424D2E" w:rsidSect="006D61D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A1E0B"/>
    <w:multiLevelType w:val="hybridMultilevel"/>
    <w:tmpl w:val="9ACC1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07D04"/>
    <w:multiLevelType w:val="hybridMultilevel"/>
    <w:tmpl w:val="9ACC1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A07AAE"/>
    <w:multiLevelType w:val="hybridMultilevel"/>
    <w:tmpl w:val="63F0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73"/>
    <w:rsid w:val="00013115"/>
    <w:rsid w:val="00031B6C"/>
    <w:rsid w:val="000C4BC7"/>
    <w:rsid w:val="000F4F7C"/>
    <w:rsid w:val="001C3FDA"/>
    <w:rsid w:val="001C5073"/>
    <w:rsid w:val="00243B66"/>
    <w:rsid w:val="00284574"/>
    <w:rsid w:val="00287C4B"/>
    <w:rsid w:val="002F41AE"/>
    <w:rsid w:val="00314686"/>
    <w:rsid w:val="003178A2"/>
    <w:rsid w:val="00347335"/>
    <w:rsid w:val="003E33C7"/>
    <w:rsid w:val="00424D2E"/>
    <w:rsid w:val="00467780"/>
    <w:rsid w:val="004F1F22"/>
    <w:rsid w:val="005E0159"/>
    <w:rsid w:val="006D61D3"/>
    <w:rsid w:val="00790B0D"/>
    <w:rsid w:val="007A3135"/>
    <w:rsid w:val="00827681"/>
    <w:rsid w:val="00830814"/>
    <w:rsid w:val="008402A4"/>
    <w:rsid w:val="008A7928"/>
    <w:rsid w:val="009245BC"/>
    <w:rsid w:val="00931888"/>
    <w:rsid w:val="0098419C"/>
    <w:rsid w:val="009F2729"/>
    <w:rsid w:val="00A35926"/>
    <w:rsid w:val="00AA1E00"/>
    <w:rsid w:val="00AB1BC9"/>
    <w:rsid w:val="00AD10EA"/>
    <w:rsid w:val="00AE58FF"/>
    <w:rsid w:val="00B35EF8"/>
    <w:rsid w:val="00B73F3E"/>
    <w:rsid w:val="00B84D2D"/>
    <w:rsid w:val="00D447EB"/>
    <w:rsid w:val="00D60058"/>
    <w:rsid w:val="00D65EFF"/>
    <w:rsid w:val="00EA0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A9CA0-8674-4D55-99CA-15D80407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45BC"/>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uiPriority w:val="34"/>
    <w:qFormat/>
    <w:rsid w:val="00347335"/>
    <w:pPr>
      <w:ind w:left="720"/>
      <w:contextualSpacing/>
    </w:pPr>
  </w:style>
  <w:style w:type="table" w:styleId="TableGrid">
    <w:name w:val="Table Grid"/>
    <w:basedOn w:val="TableNormal"/>
    <w:uiPriority w:val="39"/>
    <w:rsid w:val="006D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98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Adamashvili</dc:creator>
  <cp:keywords/>
  <dc:description/>
  <cp:lastModifiedBy>Khatuna Kapanadze</cp:lastModifiedBy>
  <cp:revision>6</cp:revision>
  <dcterms:created xsi:type="dcterms:W3CDTF">2021-06-22T14:09:00Z</dcterms:created>
  <dcterms:modified xsi:type="dcterms:W3CDTF">2021-06-28T13:00:00Z</dcterms:modified>
</cp:coreProperties>
</file>