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14A9EC" w14:textId="77777777" w:rsidR="001E2FAE" w:rsidRPr="00595EBC" w:rsidRDefault="001E2FAE" w:rsidP="001E2FAE">
      <w:pPr>
        <w:jc w:val="center"/>
        <w:rPr>
          <w:rFonts w:cstheme="minorHAnsi"/>
          <w:b/>
          <w:lang w:val="ka-GE"/>
        </w:rPr>
      </w:pPr>
      <w:r w:rsidRPr="00595EBC">
        <w:rPr>
          <w:rFonts w:cstheme="minorHAnsi"/>
          <w:b/>
          <w:lang w:val="ka-GE"/>
        </w:rPr>
        <w:t>შესყიდვის ობიექტი</w:t>
      </w:r>
    </w:p>
    <w:p w14:paraId="70C7BA64" w14:textId="7E02BBA0" w:rsidR="00D65438" w:rsidRPr="00CD1125" w:rsidRDefault="00D65438" w:rsidP="00D65438">
      <w:pPr>
        <w:tabs>
          <w:tab w:val="left" w:pos="1440"/>
        </w:tabs>
        <w:spacing w:after="0" w:line="240" w:lineRule="auto"/>
        <w:contextualSpacing/>
        <w:jc w:val="both"/>
        <w:rPr>
          <w:rFonts w:cstheme="minorHAnsi"/>
          <w:lang w:val="ka-GE"/>
        </w:rPr>
      </w:pPr>
      <w:r w:rsidRPr="00595EBC">
        <w:rPr>
          <w:rFonts w:eastAsia="Sylfaen" w:cstheme="minorHAnsi"/>
          <w:lang w:val="ka-GE"/>
        </w:rPr>
        <w:t xml:space="preserve">შესყიდვის ობიექტს წარმოადგენს  შიდსთან, ტუბერკულოზსა და მალარიასთან ბრძოლის გლობალური ფონდის „ტუბერკულოზის ყველა ფორმის ხარისხიან დიაგნოსტიკასა და მკურნალობაზე საყოველთაო ხელმისაწვდომობის მდგრადობის უზრუნველყოფის“ </w:t>
      </w:r>
      <w:r w:rsidR="00553AC1">
        <w:rPr>
          <w:rFonts w:eastAsia="Sylfaen" w:cstheme="minorHAnsi"/>
          <w:lang w:val="ka-GE"/>
        </w:rPr>
        <w:t>(GEO-T-NCDC/</w:t>
      </w:r>
      <w:r w:rsidR="00517D30" w:rsidRPr="00517D30">
        <w:rPr>
          <w:rFonts w:eastAsia="Sylfaen" w:cstheme="minorHAnsi"/>
          <w:lang w:val="ka-GE"/>
        </w:rPr>
        <w:t>C19RM2021 კომპონენტი)</w:t>
      </w:r>
      <w:r w:rsidR="00517D30" w:rsidRPr="00A028C2">
        <w:rPr>
          <w:rFonts w:eastAsia="Sylfaen" w:cstheme="minorHAnsi"/>
          <w:lang w:val="ka-GE"/>
        </w:rPr>
        <w:t xml:space="preserve"> </w:t>
      </w:r>
      <w:r w:rsidRPr="00595EBC">
        <w:rPr>
          <w:rFonts w:eastAsia="Sylfaen" w:cstheme="minorHAnsi"/>
          <w:lang w:val="ka-GE"/>
        </w:rPr>
        <w:t xml:space="preserve">პროგრამის ფარგლებში სსიპ ლ. საყვარელიძის სახელობის დაავადებათა კონტროლისა და საზოგადოებრივი ჯანმრთელობის ეროვნულ ცენტრის მიერ დაგეგმილი  მომსახურების შესყიდვა - </w:t>
      </w:r>
      <w:r w:rsidRPr="00517D30">
        <w:rPr>
          <w:rFonts w:eastAsia="Sylfaen" w:cstheme="minorHAnsi"/>
          <w:lang w:val="ka-GE"/>
        </w:rPr>
        <w:t>ტუბერკულოზისა და აივ ინფექციის საკვანძო პოპულაციებ</w:t>
      </w:r>
      <w:r w:rsidRPr="00595EBC">
        <w:rPr>
          <w:rFonts w:cstheme="minorHAnsi"/>
          <w:lang w:val="ka-GE"/>
        </w:rPr>
        <w:t>ში ადამიანის უფლებებისა და გენდერთან დაკავშირებული სერვისის ხელმისაწვდომობის ბარიერების კვლევა</w:t>
      </w:r>
      <w:r w:rsidR="00A028C2">
        <w:rPr>
          <w:rFonts w:cstheme="minorHAnsi"/>
          <w:lang w:val="ka-GE"/>
        </w:rPr>
        <w:t xml:space="preserve"> </w:t>
      </w:r>
      <w:r w:rsidR="00A028C2" w:rsidRPr="006E4C6B">
        <w:rPr>
          <w:rFonts w:ascii="Sylfaen" w:eastAsia="SimSun" w:hAnsi="Sylfaen" w:cs="Sylfaen"/>
          <w:bCs/>
          <w:lang w:val="ka-GE" w:eastAsia="zh-CN"/>
        </w:rPr>
        <w:t>(CPV79300000 - ბაზრის კვლევა და ეკონომიკური კვლევა; გამოკითხვები და სტატისტიკა</w:t>
      </w:r>
      <w:r w:rsidR="00CD1125" w:rsidRPr="00CD1125">
        <w:rPr>
          <w:rFonts w:ascii="Sylfaen" w:eastAsia="SimSun" w:hAnsi="Sylfaen" w:cs="Sylfaen"/>
          <w:bCs/>
          <w:lang w:val="ka-GE" w:eastAsia="zh-CN"/>
        </w:rPr>
        <w:t xml:space="preserve">; </w:t>
      </w:r>
      <w:r w:rsidR="00CD1125" w:rsidRPr="006E4C6B">
        <w:rPr>
          <w:rFonts w:ascii="Sylfaen" w:eastAsia="SimSun" w:hAnsi="Sylfaen" w:cs="Sylfaen"/>
          <w:bCs/>
          <w:lang w:val="ka-GE" w:eastAsia="zh-CN"/>
        </w:rPr>
        <w:t>CPV</w:t>
      </w:r>
      <w:r w:rsidR="00CD1125" w:rsidRPr="00CD1125">
        <w:rPr>
          <w:rFonts w:ascii="Sylfaen" w:eastAsia="SimSun" w:hAnsi="Sylfaen" w:cs="Sylfaen"/>
          <w:bCs/>
          <w:lang w:val="ka-GE" w:eastAsia="zh-CN"/>
        </w:rPr>
        <w:t>79311300 - გამოკითხვების შედეგების ანალიზი</w:t>
      </w:r>
      <w:r w:rsidR="00A028C2" w:rsidRPr="006E4C6B">
        <w:rPr>
          <w:rFonts w:ascii="Sylfaen" w:eastAsia="SimSun" w:hAnsi="Sylfaen" w:cs="Sylfaen"/>
          <w:bCs/>
          <w:lang w:val="ka-GE" w:eastAsia="zh-CN"/>
        </w:rPr>
        <w:t>)</w:t>
      </w:r>
      <w:r w:rsidR="00CD1125" w:rsidRPr="00CD1125">
        <w:rPr>
          <w:rFonts w:ascii="Sylfaen" w:eastAsia="SimSun" w:hAnsi="Sylfaen" w:cs="Sylfaen"/>
          <w:bCs/>
          <w:lang w:val="ka-GE" w:eastAsia="zh-CN"/>
        </w:rPr>
        <w:t>.</w:t>
      </w:r>
    </w:p>
    <w:p w14:paraId="3946919A" w14:textId="77777777" w:rsidR="001E2FAE" w:rsidRPr="00595EBC" w:rsidRDefault="001E2FAE" w:rsidP="00CE054E">
      <w:pPr>
        <w:jc w:val="both"/>
        <w:rPr>
          <w:rFonts w:cstheme="minorHAnsi"/>
          <w:lang w:val="ka-GE"/>
        </w:rPr>
      </w:pPr>
    </w:p>
    <w:p w14:paraId="634CA3C6" w14:textId="0CEBB2FE" w:rsidR="001E2FAE" w:rsidRPr="00595EBC" w:rsidRDefault="00D65438" w:rsidP="00CE054E">
      <w:pPr>
        <w:jc w:val="both"/>
        <w:rPr>
          <w:rFonts w:cstheme="minorHAnsi"/>
          <w:lang w:val="ka-GE"/>
        </w:rPr>
      </w:pPr>
      <w:r w:rsidRPr="00553AC1">
        <w:rPr>
          <w:rFonts w:eastAsia="Sylfaen" w:cstheme="minorHAnsi"/>
          <w:lang w:val="ka-GE"/>
        </w:rPr>
        <w:t xml:space="preserve">მომსახურების მიწოდების ვადებია </w:t>
      </w:r>
      <w:r w:rsidR="00C5509B">
        <w:rPr>
          <w:rFonts w:eastAsia="Sylfaen" w:cstheme="minorHAnsi"/>
          <w:lang w:val="ka-GE"/>
        </w:rPr>
        <w:t xml:space="preserve">ხელშეკრულების გაფორმებიდან </w:t>
      </w:r>
      <w:r w:rsidR="00B677AF">
        <w:rPr>
          <w:rFonts w:eastAsia="Sylfaen" w:cstheme="minorHAnsi"/>
          <w:lang w:val="ka-GE"/>
        </w:rPr>
        <w:t>6</w:t>
      </w:r>
      <w:r w:rsidR="00C5509B">
        <w:rPr>
          <w:rFonts w:eastAsia="Sylfaen" w:cstheme="minorHAnsi"/>
          <w:lang w:val="ka-GE"/>
        </w:rPr>
        <w:t xml:space="preserve"> თვე.</w:t>
      </w:r>
    </w:p>
    <w:p w14:paraId="0E33D32D" w14:textId="77777777" w:rsidR="001E2FAE" w:rsidRPr="00595EBC" w:rsidRDefault="001E2FAE" w:rsidP="00CE054E">
      <w:pPr>
        <w:jc w:val="both"/>
        <w:rPr>
          <w:rFonts w:cstheme="minorHAnsi"/>
          <w:lang w:val="ka-GE"/>
        </w:rPr>
      </w:pPr>
    </w:p>
    <w:p w14:paraId="75391C91" w14:textId="77777777" w:rsidR="001E2FAE" w:rsidRPr="00595EBC" w:rsidRDefault="001E2FAE" w:rsidP="001E2FAE">
      <w:pPr>
        <w:jc w:val="center"/>
        <w:rPr>
          <w:rFonts w:cstheme="minorHAnsi"/>
          <w:b/>
          <w:lang w:val="ka-GE"/>
        </w:rPr>
      </w:pPr>
      <w:r w:rsidRPr="00595EBC">
        <w:rPr>
          <w:rFonts w:cstheme="minorHAnsi"/>
          <w:b/>
          <w:lang w:val="ka-GE"/>
        </w:rPr>
        <w:t>ტექნიკური დავალება</w:t>
      </w:r>
    </w:p>
    <w:p w14:paraId="2B09E1DC" w14:textId="77777777" w:rsidR="00CE054E" w:rsidRPr="00C5509B" w:rsidRDefault="00CE054E" w:rsidP="00CE054E">
      <w:pPr>
        <w:jc w:val="both"/>
        <w:rPr>
          <w:rFonts w:cstheme="minorHAnsi"/>
          <w:lang w:val="ka-GE"/>
        </w:rPr>
      </w:pPr>
      <w:r w:rsidRPr="00595EBC">
        <w:rPr>
          <w:rFonts w:cstheme="minorHAnsi"/>
          <w:lang w:val="ka-GE"/>
        </w:rPr>
        <w:t>COVID-19-თან დაკავშირებული შეზღუდვებმა, როგორიცაა საზოგადოებრივი ტრანსპორტის პერიოდული აკრძალვა, კომენდანტის საათი, საზოგადოებრივი სივრცეების დახურვა და ა.შ</w:t>
      </w:r>
      <w:r w:rsidR="00595EBC">
        <w:rPr>
          <w:rFonts w:cstheme="minorHAnsi"/>
          <w:lang w:val="ka-GE"/>
        </w:rPr>
        <w:t xml:space="preserve"> შექმნა</w:t>
      </w:r>
      <w:r w:rsidR="00595EBC" w:rsidRPr="00595EBC">
        <w:rPr>
          <w:rFonts w:cstheme="minorHAnsi"/>
          <w:lang w:val="ka-GE"/>
        </w:rPr>
        <w:t xml:space="preserve"> მომსახურებასთან დაკავშირებული ბარიერები </w:t>
      </w:r>
      <w:r w:rsidRPr="00595EBC">
        <w:rPr>
          <w:rFonts w:cstheme="minorHAnsi"/>
          <w:lang w:val="ka-GE"/>
        </w:rPr>
        <w:t>საკვანძო პოპულაციებისთვის, აივ ინფიცირებული პირებისა და ტუბერკულოზის მქონე პაციენტებისთვის. გარდა ამისა, პანდემიის დროს წარმოქმნილ შიშსა და გაურკვევლობას, სწრაფად მოჰყვება სტიგმა და დისკრიმინაცია, რაც ხალხს ძალადობის, შევიწროებისა და იზოლაციის წინაშე აყენებს და აფერხებს პანდემიის გასაკონტროლებლად აუცილებელი ჯანდაცვის სერვისების მიწოდებას</w:t>
      </w:r>
      <w:r w:rsidR="00AF5828" w:rsidRPr="00595EBC">
        <w:rPr>
          <w:rFonts w:cstheme="minorHAnsi"/>
          <w:lang w:val="ka-GE"/>
        </w:rPr>
        <w:t>ა</w:t>
      </w:r>
      <w:r w:rsidRPr="00595EBC">
        <w:rPr>
          <w:rFonts w:cstheme="minorHAnsi"/>
          <w:lang w:val="ka-GE"/>
        </w:rPr>
        <w:t xml:space="preserve"> და მიღებას. </w:t>
      </w:r>
      <w:r w:rsidR="00595EBC" w:rsidRPr="00C5509B">
        <w:rPr>
          <w:rFonts w:cstheme="minorHAnsi"/>
          <w:lang w:val="ka-GE"/>
        </w:rPr>
        <w:t xml:space="preserve"> </w:t>
      </w:r>
    </w:p>
    <w:p w14:paraId="352A8013" w14:textId="77777777" w:rsidR="00CE054E" w:rsidRPr="00C5509B" w:rsidRDefault="00CE054E" w:rsidP="00CE054E">
      <w:pPr>
        <w:jc w:val="both"/>
        <w:rPr>
          <w:rFonts w:cstheme="minorHAnsi"/>
          <w:lang w:val="ka-GE"/>
        </w:rPr>
      </w:pPr>
      <w:r w:rsidRPr="00595EBC">
        <w:rPr>
          <w:rFonts w:cstheme="minorHAnsi"/>
          <w:lang w:val="ka-GE"/>
        </w:rPr>
        <w:t>აქედან გამომდინარე, თემთან, უფლებებთან და გენდერთან</w:t>
      </w:r>
      <w:r w:rsidRPr="00C5509B">
        <w:rPr>
          <w:rFonts w:cstheme="minorHAnsi"/>
          <w:lang w:val="ka-GE"/>
        </w:rPr>
        <w:t xml:space="preserve"> (CRG)</w:t>
      </w:r>
      <w:r w:rsidRPr="00595EBC">
        <w:rPr>
          <w:rFonts w:cstheme="minorHAnsi"/>
          <w:lang w:val="ka-GE"/>
        </w:rPr>
        <w:t xml:space="preserve"> დაკავშირებული სერვისების ბარიერების</w:t>
      </w:r>
      <w:r w:rsidR="00595EBC">
        <w:rPr>
          <w:rFonts w:cstheme="minorHAnsi"/>
          <w:lang w:val="ka-GE"/>
        </w:rPr>
        <w:t xml:space="preserve"> </w:t>
      </w:r>
      <w:r w:rsidRPr="00595EBC">
        <w:rPr>
          <w:rFonts w:cstheme="minorHAnsi"/>
          <w:lang w:val="ka-GE"/>
        </w:rPr>
        <w:t xml:space="preserve">სისტემატური შესწავლა აუცილებელია გადაწყვეტილების მიღების პროცესის ფორმირებისა და ამ ბარიერების </w:t>
      </w:r>
      <w:r w:rsidR="00595EBC">
        <w:rPr>
          <w:rFonts w:cstheme="minorHAnsi"/>
          <w:lang w:val="ka-GE"/>
        </w:rPr>
        <w:t>აღმოფხვრისათვის</w:t>
      </w:r>
      <w:r w:rsidRPr="00595EBC">
        <w:rPr>
          <w:rFonts w:cstheme="minorHAnsi"/>
          <w:lang w:val="ka-GE"/>
        </w:rPr>
        <w:t>.</w:t>
      </w:r>
      <w:bookmarkStart w:id="0" w:name="_GoBack"/>
      <w:bookmarkEnd w:id="0"/>
    </w:p>
    <w:p w14:paraId="3A8039DC" w14:textId="77777777" w:rsidR="00AF5828" w:rsidRPr="00595EBC" w:rsidRDefault="00AF5828" w:rsidP="00CE054E">
      <w:pPr>
        <w:jc w:val="both"/>
        <w:rPr>
          <w:rFonts w:cstheme="minorHAnsi"/>
          <w:b/>
          <w:lang w:val="ka-GE"/>
        </w:rPr>
      </w:pPr>
      <w:r w:rsidRPr="00595EBC">
        <w:rPr>
          <w:rFonts w:cstheme="minorHAnsi"/>
          <w:b/>
          <w:lang w:val="ka-GE"/>
        </w:rPr>
        <w:t>მიზანი</w:t>
      </w:r>
    </w:p>
    <w:p w14:paraId="64388868" w14:textId="64823671" w:rsidR="00AF5828" w:rsidRPr="00595EBC" w:rsidRDefault="00AF5828" w:rsidP="00AF5828">
      <w:pPr>
        <w:jc w:val="both"/>
        <w:rPr>
          <w:rFonts w:cstheme="minorHAnsi"/>
          <w:lang w:val="ka-GE"/>
        </w:rPr>
      </w:pPr>
      <w:r w:rsidRPr="00595EBC">
        <w:rPr>
          <w:rFonts w:cstheme="minorHAnsi"/>
          <w:lang w:val="ka-GE"/>
        </w:rPr>
        <w:t xml:space="preserve">პროექტის მიზანია აივ და ტუბერკულოზის </w:t>
      </w:r>
      <w:r w:rsidRPr="00C5509B">
        <w:rPr>
          <w:rFonts w:cstheme="minorHAnsi"/>
          <w:lang w:val="ka-GE"/>
        </w:rPr>
        <w:t>მოწყვ</w:t>
      </w:r>
      <w:r w:rsidRPr="00595EBC">
        <w:rPr>
          <w:rFonts w:cstheme="minorHAnsi"/>
          <w:lang w:val="ka-GE"/>
        </w:rPr>
        <w:t>ლ</w:t>
      </w:r>
      <w:r w:rsidRPr="00C5509B">
        <w:rPr>
          <w:rFonts w:cstheme="minorHAnsi"/>
          <w:lang w:val="ka-GE"/>
        </w:rPr>
        <w:t>ად</w:t>
      </w:r>
      <w:r w:rsidRPr="00595EBC">
        <w:rPr>
          <w:rFonts w:cstheme="minorHAnsi"/>
          <w:lang w:val="ka-GE"/>
        </w:rPr>
        <w:t xml:space="preserve"> პოპულაციებში ადამიანის უფლებების, გენდერის</w:t>
      </w:r>
      <w:r w:rsidR="00595EBC">
        <w:rPr>
          <w:rFonts w:cstheme="minorHAnsi"/>
          <w:lang w:val="ka-GE"/>
        </w:rPr>
        <w:t xml:space="preserve"> და </w:t>
      </w:r>
      <w:r w:rsidRPr="00595EBC">
        <w:rPr>
          <w:rFonts w:cstheme="minorHAnsi"/>
          <w:lang w:val="ka-GE"/>
        </w:rPr>
        <w:t xml:space="preserve">სხვა სოციალური და ეკონომიკური ბარიერების (მათ შორის სტიგმისა და დისკრიმინაციის) დადგენა და შეფასება, </w:t>
      </w:r>
      <w:r w:rsidR="00595EBC" w:rsidRPr="00595EBC">
        <w:rPr>
          <w:rFonts w:cstheme="minorHAnsi"/>
          <w:lang w:val="ka-GE"/>
        </w:rPr>
        <w:t>გამოვლენილი ბარიერების დასაძლევად</w:t>
      </w:r>
      <w:r w:rsidR="00595EBC">
        <w:rPr>
          <w:rFonts w:cstheme="minorHAnsi"/>
          <w:lang w:val="ka-GE"/>
        </w:rPr>
        <w:t xml:space="preserve"> შესაბამისი</w:t>
      </w:r>
      <w:r w:rsidRPr="00595EBC">
        <w:rPr>
          <w:rFonts w:cstheme="minorHAnsi"/>
          <w:lang w:val="ka-GE"/>
        </w:rPr>
        <w:t xml:space="preserve"> </w:t>
      </w:r>
      <w:r w:rsidR="009B7590">
        <w:rPr>
          <w:rFonts w:cstheme="minorHAnsi"/>
          <w:lang w:val="ka-GE"/>
        </w:rPr>
        <w:t>რეკომენდაციების</w:t>
      </w:r>
      <w:r w:rsidRPr="00595EBC">
        <w:rPr>
          <w:rFonts w:cstheme="minorHAnsi"/>
          <w:lang w:val="ka-GE"/>
        </w:rPr>
        <w:t xml:space="preserve"> შემუშავება, </w:t>
      </w:r>
      <w:r w:rsidR="009B7590">
        <w:rPr>
          <w:rFonts w:cstheme="minorHAnsi"/>
          <w:lang w:val="ka-GE"/>
        </w:rPr>
        <w:t xml:space="preserve">მათ შორის </w:t>
      </w:r>
      <w:r w:rsidRPr="00595EBC">
        <w:rPr>
          <w:rFonts w:cstheme="minorHAnsi"/>
          <w:lang w:val="ka-GE"/>
        </w:rPr>
        <w:t>საზოგადოებ</w:t>
      </w:r>
      <w:r w:rsidR="00595EBC">
        <w:rPr>
          <w:rFonts w:cstheme="minorHAnsi"/>
          <w:lang w:val="ka-GE"/>
        </w:rPr>
        <w:t>აში</w:t>
      </w:r>
      <w:r w:rsidRPr="00595EBC">
        <w:rPr>
          <w:rFonts w:cstheme="minorHAnsi"/>
          <w:lang w:val="ka-GE"/>
        </w:rPr>
        <w:t xml:space="preserve"> შიშის აღმოსაფხვრელად  როგორც COVID-19, ასევე ტუბერკულოზის და/ან აივ ინფექციის და </w:t>
      </w:r>
      <w:r w:rsidR="00595EBC">
        <w:rPr>
          <w:rFonts w:cstheme="minorHAnsi"/>
          <w:lang w:val="ka-GE"/>
        </w:rPr>
        <w:t>მათ</w:t>
      </w:r>
      <w:r w:rsidRPr="00595EBC">
        <w:rPr>
          <w:rFonts w:cstheme="minorHAnsi"/>
          <w:lang w:val="ka-GE"/>
        </w:rPr>
        <w:t>თან დაკავშირებული სტიგმისა და დისკრიმინაციის მიმართ.</w:t>
      </w:r>
    </w:p>
    <w:p w14:paraId="67D5F5AA" w14:textId="77777777" w:rsidR="00AF5828" w:rsidRPr="00595EBC" w:rsidRDefault="00595EBC" w:rsidP="00595EBC">
      <w:pPr>
        <w:spacing w:before="240" w:after="240"/>
        <w:jc w:val="both"/>
        <w:rPr>
          <w:rFonts w:cstheme="minorHAnsi"/>
          <w:lang w:val="ka-GE"/>
        </w:rPr>
      </w:pPr>
      <w:r w:rsidRPr="00595EBC">
        <w:rPr>
          <w:rFonts w:cstheme="minorHAnsi"/>
          <w:lang w:val="ka-GE"/>
        </w:rPr>
        <w:t>პროექტის სამიზნე პოპულაციას წარმოადგენს აივ და ტუბერკულოზის მოწყვლად</w:t>
      </w:r>
      <w:r>
        <w:rPr>
          <w:rFonts w:cstheme="minorHAnsi"/>
          <w:lang w:val="ka-GE"/>
        </w:rPr>
        <w:t>ი</w:t>
      </w:r>
      <w:r w:rsidRPr="00595EBC">
        <w:rPr>
          <w:rFonts w:cstheme="minorHAnsi"/>
          <w:lang w:val="ka-GE"/>
        </w:rPr>
        <w:t xml:space="preserve"> პოპულაციები.</w:t>
      </w:r>
    </w:p>
    <w:p w14:paraId="163E6C94" w14:textId="77777777" w:rsidR="00AF5828" w:rsidRPr="00595EBC" w:rsidRDefault="00AF5828" w:rsidP="00CE054E">
      <w:pPr>
        <w:jc w:val="both"/>
        <w:rPr>
          <w:rFonts w:cstheme="minorHAnsi"/>
          <w:b/>
          <w:lang w:val="ka-GE"/>
        </w:rPr>
      </w:pPr>
      <w:r w:rsidRPr="00595EBC">
        <w:rPr>
          <w:rFonts w:cstheme="minorHAnsi"/>
          <w:b/>
          <w:lang w:val="ka-GE"/>
        </w:rPr>
        <w:t>პროექტის სპეციფიკური ამოცანებია:</w:t>
      </w:r>
    </w:p>
    <w:p w14:paraId="73D819DE" w14:textId="15AFBC56" w:rsidR="00AF5828" w:rsidRPr="00595EBC" w:rsidRDefault="00197AB2" w:rsidP="00CE054E">
      <w:pPr>
        <w:jc w:val="both"/>
        <w:rPr>
          <w:rFonts w:cstheme="minorHAnsi"/>
          <w:lang w:val="ka-GE"/>
        </w:rPr>
      </w:pPr>
      <w:r w:rsidRPr="00595EBC">
        <w:rPr>
          <w:rFonts w:cstheme="minorHAnsi"/>
          <w:lang w:val="ka-GE"/>
        </w:rPr>
        <w:t>1</w:t>
      </w:r>
      <w:r w:rsidR="00AF5828" w:rsidRPr="00595EBC">
        <w:rPr>
          <w:rFonts w:cstheme="minorHAnsi"/>
          <w:lang w:val="ka-GE"/>
        </w:rPr>
        <w:t xml:space="preserve">)  </w:t>
      </w:r>
      <w:r w:rsidR="00595EBC" w:rsidRPr="00595EBC">
        <w:rPr>
          <w:rFonts w:cstheme="minorHAnsi"/>
          <w:lang w:val="ka-GE"/>
        </w:rPr>
        <w:t xml:space="preserve">აივ და ტუბერკულოზის მოწყვლად პოპულაციებში ადამიანის უფლებებთან და გენდერთან დაკავშირებული ბარიერების </w:t>
      </w:r>
      <w:r w:rsidR="00595EBC">
        <w:rPr>
          <w:rFonts w:cstheme="minorHAnsi"/>
          <w:lang w:val="ka-GE"/>
        </w:rPr>
        <w:t>კვლევის დაგეგმვა</w:t>
      </w:r>
    </w:p>
    <w:p w14:paraId="395D69C9" w14:textId="77777777" w:rsidR="00EE5C1B" w:rsidRDefault="00197AB2" w:rsidP="00CE054E">
      <w:pPr>
        <w:jc w:val="both"/>
        <w:rPr>
          <w:rFonts w:cstheme="minorHAnsi"/>
          <w:lang w:val="ka-GE"/>
        </w:rPr>
      </w:pPr>
      <w:r w:rsidRPr="00595EBC">
        <w:rPr>
          <w:rFonts w:cstheme="minorHAnsi"/>
          <w:lang w:val="ka-GE"/>
        </w:rPr>
        <w:t>2</w:t>
      </w:r>
      <w:r w:rsidR="00AF5828" w:rsidRPr="00595EBC">
        <w:rPr>
          <w:rFonts w:cstheme="minorHAnsi"/>
          <w:lang w:val="ka-GE"/>
        </w:rPr>
        <w:t xml:space="preserve">) </w:t>
      </w:r>
      <w:r w:rsidRPr="00595EBC">
        <w:rPr>
          <w:rFonts w:cstheme="minorHAnsi"/>
          <w:lang w:val="ka-GE"/>
        </w:rPr>
        <w:t xml:space="preserve">აივ და ტუბერკულოზის მოწყვლად პოპულაციებში ადამიანის უფლებებთან და გენდერთან დაკავშირებული ბარიერების </w:t>
      </w:r>
      <w:r w:rsidR="00595EBC">
        <w:rPr>
          <w:rFonts w:cstheme="minorHAnsi"/>
          <w:lang w:val="ka-GE"/>
        </w:rPr>
        <w:t>კვლევის განხორციელება - ბარიერების გ</w:t>
      </w:r>
      <w:r w:rsidR="00F86303">
        <w:rPr>
          <w:rFonts w:cstheme="minorHAnsi"/>
          <w:lang w:val="ka-GE"/>
        </w:rPr>
        <w:t>ამოვლენ</w:t>
      </w:r>
      <w:r w:rsidR="00595EBC">
        <w:rPr>
          <w:rFonts w:cstheme="minorHAnsi"/>
          <w:lang w:val="ka-GE"/>
        </w:rPr>
        <w:t>ა და შეფასება.</w:t>
      </w:r>
    </w:p>
    <w:p w14:paraId="5DF1048E" w14:textId="4FB02474" w:rsidR="00197AB2" w:rsidRPr="00595EBC" w:rsidRDefault="00C51311" w:rsidP="00CE054E">
      <w:pPr>
        <w:jc w:val="both"/>
        <w:rPr>
          <w:rFonts w:cstheme="minorHAnsi"/>
          <w:lang w:val="ka-GE"/>
        </w:rPr>
      </w:pPr>
      <w:r w:rsidRPr="00595EBC">
        <w:rPr>
          <w:rFonts w:cstheme="minorHAnsi"/>
          <w:lang w:val="ka-GE"/>
        </w:rPr>
        <w:t>3</w:t>
      </w:r>
      <w:r w:rsidR="00197AB2" w:rsidRPr="00595EBC">
        <w:rPr>
          <w:rFonts w:cstheme="minorHAnsi"/>
          <w:lang w:val="ka-GE"/>
        </w:rPr>
        <w:t xml:space="preserve">) აივ და ტუბერკულოზის მოწყვლად პოპულაციებში გამოვლენილი ბარიერების დასაძლევად </w:t>
      </w:r>
      <w:r w:rsidR="00C5509B">
        <w:rPr>
          <w:rFonts w:cstheme="minorHAnsi"/>
          <w:lang w:val="ka-GE"/>
        </w:rPr>
        <w:t>რეკომენდაციების შემუშავება</w:t>
      </w:r>
    </w:p>
    <w:p w14:paraId="0248AE9B" w14:textId="77777777" w:rsidR="00AF5828" w:rsidRPr="00595EBC" w:rsidRDefault="00AF5828" w:rsidP="00CE054E">
      <w:pPr>
        <w:jc w:val="both"/>
        <w:rPr>
          <w:rFonts w:cstheme="minorHAnsi"/>
          <w:b/>
          <w:lang w:val="ka-GE"/>
        </w:rPr>
      </w:pPr>
    </w:p>
    <w:p w14:paraId="395F1CD1" w14:textId="77777777" w:rsidR="00AF5828" w:rsidRPr="00595EBC" w:rsidRDefault="00AF5828" w:rsidP="00AF5828">
      <w:pPr>
        <w:jc w:val="center"/>
        <w:rPr>
          <w:rFonts w:cstheme="minorHAnsi"/>
          <w:b/>
          <w:lang w:val="ka-GE"/>
        </w:rPr>
      </w:pPr>
      <w:r w:rsidRPr="00595EBC">
        <w:rPr>
          <w:rFonts w:cstheme="minorHAnsi"/>
          <w:b/>
          <w:lang w:val="ka-GE"/>
        </w:rPr>
        <w:t>პროექტის ფარგლებში განსახორციელებელი აქტივობები</w:t>
      </w:r>
    </w:p>
    <w:p w14:paraId="10E153B9" w14:textId="77777777" w:rsidR="004B30C2" w:rsidRPr="00C5509B" w:rsidRDefault="004B30C2" w:rsidP="00AF5828">
      <w:pPr>
        <w:rPr>
          <w:rFonts w:cstheme="minorHAnsi"/>
          <w:b/>
          <w:lang w:val="ka-GE"/>
        </w:rPr>
      </w:pPr>
    </w:p>
    <w:p w14:paraId="4A0923EA" w14:textId="6D8080CE" w:rsidR="00F86303" w:rsidRPr="00595EBC" w:rsidRDefault="00F86303" w:rsidP="00CE054E">
      <w:pPr>
        <w:jc w:val="both"/>
        <w:rPr>
          <w:rFonts w:cstheme="minorHAnsi"/>
          <w:lang w:val="ka-GE"/>
        </w:rPr>
      </w:pPr>
      <w:r w:rsidRPr="00DA08E7">
        <w:rPr>
          <w:rFonts w:cstheme="minorHAnsi"/>
          <w:b/>
          <w:lang w:val="ka-GE"/>
        </w:rPr>
        <w:t>აქტივობა 1.</w:t>
      </w:r>
      <w:r w:rsidR="009B7590">
        <w:rPr>
          <w:rFonts w:cstheme="minorHAnsi"/>
          <w:b/>
          <w:lang w:val="ka-GE"/>
        </w:rPr>
        <w:t>1</w:t>
      </w:r>
      <w:r>
        <w:rPr>
          <w:rFonts w:cstheme="minorHAnsi"/>
          <w:lang w:val="ka-GE"/>
        </w:rPr>
        <w:t xml:space="preserve"> </w:t>
      </w:r>
      <w:r w:rsidRPr="00595EBC">
        <w:rPr>
          <w:rFonts w:cstheme="minorHAnsi"/>
          <w:lang w:val="ka-GE"/>
        </w:rPr>
        <w:t xml:space="preserve">აივ და ტუბერკულოზის მოწყვლად პოპულაციებში ადამიანის უფლებებთან და გენდერთან დაკავშირებული ბარიერების </w:t>
      </w:r>
      <w:r>
        <w:rPr>
          <w:rFonts w:cstheme="minorHAnsi"/>
          <w:lang w:val="ka-GE"/>
        </w:rPr>
        <w:t>კვლევის პროტოკოლის და ინსტრუმენტების შემუშავება</w:t>
      </w:r>
      <w:r w:rsidR="001955BD">
        <w:rPr>
          <w:rFonts w:cstheme="minorHAnsi"/>
          <w:lang w:val="ka-GE"/>
        </w:rPr>
        <w:t>;</w:t>
      </w:r>
    </w:p>
    <w:p w14:paraId="5BB39209" w14:textId="77777777" w:rsidR="00C51311" w:rsidRPr="00C5509B" w:rsidRDefault="00C51311" w:rsidP="00C51311">
      <w:pPr>
        <w:jc w:val="both"/>
        <w:rPr>
          <w:rFonts w:cstheme="minorHAnsi"/>
          <w:lang w:val="ka-GE"/>
        </w:rPr>
      </w:pPr>
      <w:r w:rsidRPr="00DA08E7">
        <w:rPr>
          <w:rFonts w:cstheme="minorHAnsi"/>
          <w:b/>
          <w:lang w:val="ka-GE"/>
        </w:rPr>
        <w:t>აქტივობა 2.</w:t>
      </w:r>
      <w:r w:rsidR="001955BD" w:rsidRPr="00C5509B">
        <w:rPr>
          <w:rFonts w:cstheme="minorHAnsi"/>
          <w:b/>
          <w:lang w:val="ka-GE"/>
        </w:rPr>
        <w:t>1</w:t>
      </w:r>
      <w:r w:rsidR="00B279A8" w:rsidRPr="00595EBC">
        <w:rPr>
          <w:rFonts w:cstheme="minorHAnsi"/>
          <w:lang w:val="ka-GE"/>
        </w:rPr>
        <w:t xml:space="preserve"> აივ და ტუბერკულოზის მოწყვლად პოპულაციებში ადამიანის უფლებებთან და გენდერთან დაკავშირებული ბარიერების კვლევის განხორციელება</w:t>
      </w:r>
      <w:r w:rsidR="001955BD" w:rsidRPr="00C5509B">
        <w:rPr>
          <w:rFonts w:cstheme="minorHAnsi"/>
          <w:lang w:val="ka-GE"/>
        </w:rPr>
        <w:t>;</w:t>
      </w:r>
    </w:p>
    <w:p w14:paraId="69FABC25" w14:textId="2D800D8F" w:rsidR="009B7590" w:rsidRDefault="00DA08E7" w:rsidP="009B7590">
      <w:pPr>
        <w:shd w:val="clear" w:color="auto" w:fill="FFFFFF"/>
        <w:jc w:val="both"/>
        <w:rPr>
          <w:rFonts w:cstheme="minorHAnsi"/>
          <w:lang w:val="ka-GE"/>
        </w:rPr>
      </w:pPr>
      <w:r w:rsidRPr="00DA08E7">
        <w:rPr>
          <w:rFonts w:cstheme="minorHAnsi"/>
          <w:lang w:val="ka-GE"/>
        </w:rPr>
        <w:t>კვლე</w:t>
      </w:r>
      <w:r w:rsidR="00A26652">
        <w:rPr>
          <w:rFonts w:cstheme="minorHAnsi"/>
          <w:lang w:val="ka-GE"/>
        </w:rPr>
        <w:t>ვის ჩატარებისას კონტრაქტორ</w:t>
      </w:r>
      <w:r w:rsidR="004C796A">
        <w:rPr>
          <w:rFonts w:cstheme="minorHAnsi"/>
          <w:lang w:val="ka-GE"/>
        </w:rPr>
        <w:t xml:space="preserve">მა </w:t>
      </w:r>
      <w:r w:rsidR="00283B9F">
        <w:rPr>
          <w:rFonts w:cstheme="minorHAnsi"/>
          <w:lang w:val="ka-GE"/>
        </w:rPr>
        <w:t>უნდა</w:t>
      </w:r>
      <w:r w:rsidR="00A26652">
        <w:rPr>
          <w:rFonts w:cstheme="minorHAnsi"/>
          <w:lang w:val="ka-GE"/>
        </w:rPr>
        <w:t xml:space="preserve"> იხელმძღვანელოს გლობალური ფონდის დოკუმენტით „</w:t>
      </w:r>
      <w:r w:rsidR="00A26652" w:rsidRPr="00A26652">
        <w:rPr>
          <w:rFonts w:cstheme="minorHAnsi"/>
          <w:lang w:val="ka-GE"/>
        </w:rPr>
        <w:t xml:space="preserve">COVID-19 </w:t>
      </w:r>
      <w:r w:rsidR="00A26652">
        <w:rPr>
          <w:rFonts w:cstheme="minorHAnsi"/>
          <w:lang w:val="ka-GE"/>
        </w:rPr>
        <w:t>სახელმძღვანელო</w:t>
      </w:r>
      <w:r w:rsidR="00A26652" w:rsidRPr="00C65EFD">
        <w:rPr>
          <w:rFonts w:cstheme="minorHAnsi"/>
          <w:lang w:val="ka-GE"/>
        </w:rPr>
        <w:t xml:space="preserve"> ნოტა</w:t>
      </w:r>
      <w:r w:rsidR="00A26652" w:rsidRPr="00A26652">
        <w:rPr>
          <w:rFonts w:cstheme="minorHAnsi"/>
          <w:lang w:val="ka-GE"/>
        </w:rPr>
        <w:t>: ადამიანის უფლებები COVID-19-ის დროს</w:t>
      </w:r>
      <w:r w:rsidR="00A26652">
        <w:rPr>
          <w:rFonts w:cstheme="minorHAnsi"/>
          <w:lang w:val="ka-GE"/>
        </w:rPr>
        <w:t>“ (</w:t>
      </w:r>
      <w:r w:rsidR="00A26652" w:rsidRPr="00C65EFD">
        <w:rPr>
          <w:rFonts w:cstheme="minorHAnsi"/>
          <w:lang w:val="ka-GE"/>
        </w:rPr>
        <w:t xml:space="preserve">The Global Fund COVID-19 Guidance Note: Human Rights in the Times of COVID-19. </w:t>
      </w:r>
      <w:r w:rsidR="00A26652" w:rsidRPr="004C796A">
        <w:rPr>
          <w:rFonts w:cstheme="minorHAnsi"/>
          <w:lang w:val="ka-GE"/>
        </w:rPr>
        <w:t>Date issued: 14 April 2020)</w:t>
      </w:r>
      <w:r w:rsidR="009B7590" w:rsidRPr="004C796A">
        <w:rPr>
          <w:rFonts w:cstheme="minorHAnsi"/>
          <w:lang w:val="ka-GE"/>
        </w:rPr>
        <w:t xml:space="preserve">, რომელიც მოიცავს </w:t>
      </w:r>
      <w:r w:rsidR="009B7590">
        <w:rPr>
          <w:rFonts w:cstheme="minorHAnsi"/>
          <w:lang w:val="ka-GE"/>
        </w:rPr>
        <w:t>ადამიანის უფლებების ხუთ მინიმალურ სტანდარტს:</w:t>
      </w:r>
    </w:p>
    <w:p w14:paraId="227A9C2F" w14:textId="2408696D" w:rsidR="009B7590" w:rsidRPr="009B7590" w:rsidRDefault="009B7590" w:rsidP="009B7590">
      <w:pPr>
        <w:pStyle w:val="Default"/>
        <w:jc w:val="both"/>
        <w:rPr>
          <w:rFonts w:asciiTheme="minorHAnsi" w:hAnsiTheme="minorHAnsi" w:cstheme="minorHAnsi"/>
          <w:color w:val="000000" w:themeColor="text1"/>
          <w:sz w:val="22"/>
          <w:szCs w:val="22"/>
          <w:lang w:val="ka-GE"/>
        </w:rPr>
      </w:pPr>
      <w:r w:rsidRPr="009B7590">
        <w:rPr>
          <w:rFonts w:asciiTheme="minorHAnsi" w:hAnsiTheme="minorHAnsi" w:cstheme="minorHAnsi"/>
          <w:color w:val="000000" w:themeColor="text1"/>
          <w:sz w:val="22"/>
          <w:szCs w:val="22"/>
          <w:lang w:val="ka-GE"/>
        </w:rPr>
        <w:t xml:space="preserve">1) </w:t>
      </w:r>
      <w:r>
        <w:rPr>
          <w:rFonts w:asciiTheme="minorHAnsi" w:hAnsiTheme="minorHAnsi" w:cstheme="minorHAnsi"/>
          <w:color w:val="000000" w:themeColor="text1"/>
          <w:sz w:val="22"/>
          <w:szCs w:val="22"/>
          <w:lang w:val="ka-GE"/>
        </w:rPr>
        <w:t>სე</w:t>
      </w:r>
      <w:r w:rsidR="008E471E">
        <w:rPr>
          <w:rFonts w:asciiTheme="minorHAnsi" w:hAnsiTheme="minorHAnsi" w:cstheme="minorHAnsi"/>
          <w:color w:val="000000" w:themeColor="text1"/>
          <w:sz w:val="22"/>
          <w:szCs w:val="22"/>
          <w:lang w:val="ka-GE"/>
        </w:rPr>
        <w:t>რვისებისა</w:t>
      </w:r>
      <w:r>
        <w:rPr>
          <w:rFonts w:asciiTheme="minorHAnsi" w:hAnsiTheme="minorHAnsi" w:cstheme="minorHAnsi"/>
          <w:color w:val="000000" w:themeColor="text1"/>
          <w:sz w:val="22"/>
          <w:szCs w:val="22"/>
          <w:lang w:val="ka-GE"/>
        </w:rPr>
        <w:t>დმი</w:t>
      </w:r>
      <w:r w:rsidR="008E471E">
        <w:rPr>
          <w:rFonts w:asciiTheme="minorHAnsi" w:hAnsiTheme="minorHAnsi" w:cstheme="minorHAnsi"/>
          <w:color w:val="000000" w:themeColor="text1"/>
          <w:sz w:val="22"/>
          <w:szCs w:val="22"/>
          <w:lang w:val="ka-GE"/>
        </w:rPr>
        <w:t xml:space="preserve"> (მათ შორის </w:t>
      </w:r>
      <w:r w:rsidR="008E471E">
        <w:rPr>
          <w:rFonts w:asciiTheme="minorHAnsi" w:hAnsiTheme="minorHAnsi" w:cstheme="minorHAnsi"/>
          <w:color w:val="000000" w:themeColor="text1"/>
          <w:sz w:val="22"/>
          <w:szCs w:val="22"/>
        </w:rPr>
        <w:t>COVID-19</w:t>
      </w:r>
      <w:r w:rsidR="008E471E">
        <w:rPr>
          <w:rFonts w:asciiTheme="minorHAnsi" w:hAnsiTheme="minorHAnsi" w:cstheme="minorHAnsi"/>
          <w:color w:val="000000" w:themeColor="text1"/>
          <w:sz w:val="22"/>
          <w:szCs w:val="22"/>
          <w:lang w:val="ka-GE"/>
        </w:rPr>
        <w:t>-თან დაკავშირებული სერვისები)</w:t>
      </w:r>
      <w:r>
        <w:rPr>
          <w:rFonts w:asciiTheme="minorHAnsi" w:hAnsiTheme="minorHAnsi" w:cstheme="minorHAnsi"/>
          <w:color w:val="000000" w:themeColor="text1"/>
          <w:sz w:val="22"/>
          <w:szCs w:val="22"/>
          <w:lang w:val="ka-GE"/>
        </w:rPr>
        <w:t xml:space="preserve"> </w:t>
      </w:r>
      <w:r w:rsidRPr="00EB5506">
        <w:rPr>
          <w:rFonts w:asciiTheme="minorHAnsi" w:hAnsiTheme="minorHAnsi" w:cstheme="minorHAnsi"/>
          <w:color w:val="000000" w:themeColor="text1"/>
          <w:sz w:val="22"/>
          <w:szCs w:val="22"/>
          <w:lang w:val="ka-GE"/>
        </w:rPr>
        <w:t>არადისკრიმინაციული ხელმისაწვდომობა ყველასთვის, მათ შორის პატიმრობაში მყოფი ადამიანებისთვის</w:t>
      </w:r>
    </w:p>
    <w:p w14:paraId="54C68320" w14:textId="466073AF" w:rsidR="009B7590" w:rsidRPr="00EB5506" w:rsidRDefault="009B7590" w:rsidP="009B7590">
      <w:pPr>
        <w:pStyle w:val="Default"/>
        <w:jc w:val="both"/>
        <w:rPr>
          <w:rFonts w:asciiTheme="minorHAnsi" w:hAnsiTheme="minorHAnsi" w:cstheme="minorHAnsi"/>
          <w:color w:val="000000" w:themeColor="text1"/>
          <w:sz w:val="22"/>
          <w:szCs w:val="22"/>
          <w:lang w:val="ka-GE"/>
        </w:rPr>
      </w:pPr>
      <w:r>
        <w:rPr>
          <w:rFonts w:asciiTheme="minorHAnsi" w:hAnsiTheme="minorHAnsi" w:cstheme="minorHAnsi"/>
          <w:color w:val="000000" w:themeColor="text1"/>
          <w:sz w:val="22"/>
          <w:szCs w:val="22"/>
          <w:lang w:val="ka-GE"/>
        </w:rPr>
        <w:t xml:space="preserve">2) </w:t>
      </w:r>
      <w:r w:rsidRPr="00EB5506">
        <w:rPr>
          <w:rFonts w:asciiTheme="minorHAnsi" w:hAnsiTheme="minorHAnsi" w:cstheme="minorHAnsi"/>
          <w:color w:val="000000" w:themeColor="text1"/>
          <w:sz w:val="22"/>
          <w:szCs w:val="22"/>
          <w:lang w:val="ka-GE"/>
        </w:rPr>
        <w:t>მხოლოდ მეცნიერულად დასაბუთებული და დამტკიცებული მედიკამენტების ან სამედიცინო პრაქტიკის გამოყენება</w:t>
      </w:r>
    </w:p>
    <w:p w14:paraId="5EA14A79" w14:textId="41E171D0" w:rsidR="009B7590" w:rsidRPr="00EB5506" w:rsidRDefault="009B7590" w:rsidP="009B7590">
      <w:pPr>
        <w:pStyle w:val="Default"/>
        <w:jc w:val="both"/>
        <w:rPr>
          <w:rFonts w:asciiTheme="minorHAnsi" w:hAnsiTheme="minorHAnsi" w:cstheme="minorHAnsi"/>
          <w:color w:val="000000" w:themeColor="text1"/>
          <w:sz w:val="22"/>
          <w:szCs w:val="22"/>
          <w:lang w:val="ka-GE"/>
        </w:rPr>
      </w:pPr>
      <w:r>
        <w:rPr>
          <w:rFonts w:asciiTheme="minorHAnsi" w:hAnsiTheme="minorHAnsi" w:cstheme="minorHAnsi"/>
          <w:color w:val="000000" w:themeColor="text1"/>
          <w:sz w:val="22"/>
          <w:szCs w:val="22"/>
          <w:lang w:val="ka-GE"/>
        </w:rPr>
        <w:t xml:space="preserve">3) </w:t>
      </w:r>
      <w:r w:rsidRPr="00EB5506">
        <w:rPr>
          <w:rFonts w:asciiTheme="minorHAnsi" w:hAnsiTheme="minorHAnsi" w:cstheme="minorHAnsi"/>
          <w:color w:val="000000" w:themeColor="text1"/>
          <w:sz w:val="22"/>
          <w:szCs w:val="22"/>
          <w:lang w:val="ka-GE"/>
        </w:rPr>
        <w:t>არ გამოიყენოს ისეთი მეთოდები, რომლებიც წარმოადგენს წამებას ან არის სასტიკი, არაადამიანური ან დამამცირებელი</w:t>
      </w:r>
    </w:p>
    <w:p w14:paraId="6CB2FAB7" w14:textId="21CAC0FC" w:rsidR="009B7590" w:rsidRPr="00EB5506" w:rsidRDefault="009B7590" w:rsidP="009B7590">
      <w:pPr>
        <w:pStyle w:val="Default"/>
        <w:jc w:val="both"/>
        <w:rPr>
          <w:rFonts w:asciiTheme="minorHAnsi" w:hAnsiTheme="minorHAnsi" w:cstheme="minorHAnsi"/>
          <w:color w:val="000000" w:themeColor="text1"/>
          <w:sz w:val="22"/>
          <w:szCs w:val="22"/>
          <w:lang w:val="ka-GE"/>
        </w:rPr>
      </w:pPr>
      <w:r>
        <w:rPr>
          <w:rFonts w:asciiTheme="minorHAnsi" w:hAnsiTheme="minorHAnsi" w:cstheme="minorHAnsi"/>
          <w:color w:val="000000" w:themeColor="text1"/>
          <w:sz w:val="22"/>
          <w:szCs w:val="22"/>
          <w:lang w:val="ka-GE"/>
        </w:rPr>
        <w:t xml:space="preserve">4) </w:t>
      </w:r>
      <w:r w:rsidRPr="00EB5506">
        <w:rPr>
          <w:rFonts w:asciiTheme="minorHAnsi" w:hAnsiTheme="minorHAnsi" w:cstheme="minorHAnsi"/>
          <w:color w:val="000000" w:themeColor="text1"/>
          <w:sz w:val="22"/>
          <w:szCs w:val="22"/>
          <w:lang w:val="ka-GE"/>
        </w:rPr>
        <w:t xml:space="preserve">სამედიცინო ტესტირების, მკურნალობის ან გაწეული ჯანმრთელობის სერვისების შესახებ ინფორმირებული თანხმობის, კონფიდენციალურობისა და </w:t>
      </w:r>
      <w:proofErr w:type="spellStart"/>
      <w:r>
        <w:rPr>
          <w:rFonts w:asciiTheme="minorHAnsi" w:hAnsiTheme="minorHAnsi" w:cstheme="minorHAnsi"/>
          <w:color w:val="000000" w:themeColor="text1"/>
          <w:sz w:val="22"/>
          <w:szCs w:val="22"/>
        </w:rPr>
        <w:t>პირადი</w:t>
      </w:r>
      <w:proofErr w:type="spellEnd"/>
      <w:r>
        <w:rPr>
          <w:rFonts w:asciiTheme="minorHAnsi" w:hAnsiTheme="minorHAnsi" w:cstheme="minorHAnsi"/>
          <w:color w:val="000000" w:themeColor="text1"/>
          <w:sz w:val="22"/>
          <w:szCs w:val="22"/>
        </w:rPr>
        <w:t xml:space="preserve"> </w:t>
      </w:r>
      <w:proofErr w:type="spellStart"/>
      <w:r>
        <w:rPr>
          <w:rFonts w:asciiTheme="minorHAnsi" w:hAnsiTheme="minorHAnsi" w:cstheme="minorHAnsi"/>
          <w:color w:val="000000" w:themeColor="text1"/>
          <w:sz w:val="22"/>
          <w:szCs w:val="22"/>
        </w:rPr>
        <w:t>ინფორმაციის</w:t>
      </w:r>
      <w:proofErr w:type="spellEnd"/>
      <w:r w:rsidRPr="00EB5506">
        <w:rPr>
          <w:rFonts w:asciiTheme="minorHAnsi" w:hAnsiTheme="minorHAnsi" w:cstheme="minorHAnsi"/>
          <w:color w:val="000000" w:themeColor="text1"/>
          <w:sz w:val="22"/>
          <w:szCs w:val="22"/>
          <w:lang w:val="ka-GE"/>
        </w:rPr>
        <w:t xml:space="preserve"> უფლების პატივისცემა და დაცვა; და</w:t>
      </w:r>
    </w:p>
    <w:p w14:paraId="29493ADD" w14:textId="405E0A77" w:rsidR="009B7590" w:rsidRDefault="009B7590" w:rsidP="009B7590">
      <w:pPr>
        <w:pStyle w:val="Default"/>
        <w:spacing w:after="240"/>
        <w:jc w:val="both"/>
        <w:rPr>
          <w:rFonts w:asciiTheme="minorHAnsi" w:hAnsiTheme="minorHAnsi" w:cstheme="minorHAnsi"/>
          <w:color w:val="000000" w:themeColor="text1"/>
          <w:sz w:val="22"/>
          <w:szCs w:val="22"/>
          <w:lang w:val="ka-GE"/>
        </w:rPr>
      </w:pPr>
      <w:r>
        <w:rPr>
          <w:rFonts w:asciiTheme="minorHAnsi" w:hAnsiTheme="minorHAnsi" w:cstheme="minorHAnsi"/>
          <w:color w:val="000000" w:themeColor="text1"/>
          <w:sz w:val="22"/>
          <w:szCs w:val="22"/>
          <w:lang w:val="ka-GE"/>
        </w:rPr>
        <w:t xml:space="preserve">5) </w:t>
      </w:r>
      <w:r w:rsidRPr="00EB5506">
        <w:rPr>
          <w:rFonts w:asciiTheme="minorHAnsi" w:hAnsiTheme="minorHAnsi" w:cstheme="minorHAnsi"/>
          <w:color w:val="000000" w:themeColor="text1"/>
          <w:sz w:val="22"/>
          <w:szCs w:val="22"/>
          <w:lang w:val="ka-GE"/>
        </w:rPr>
        <w:t>სამედიცინო დაკავებისა და არანებაყოფლობითი იზოლაციის თავიდან აცილება, გამოყენებული იყოს მხოლოდ როგორც უკიდურესი საშუალება.</w:t>
      </w:r>
    </w:p>
    <w:p w14:paraId="0E398E54" w14:textId="7A5A38BE" w:rsidR="00DA08E7" w:rsidRPr="009B7590" w:rsidRDefault="009B7590" w:rsidP="009B7590">
      <w:pPr>
        <w:shd w:val="clear" w:color="auto" w:fill="FFFFFF"/>
        <w:spacing w:after="240"/>
        <w:jc w:val="both"/>
        <w:rPr>
          <w:rFonts w:cstheme="minorHAnsi"/>
        </w:rPr>
      </w:pPr>
      <w:proofErr w:type="spellStart"/>
      <w:proofErr w:type="gramStart"/>
      <w:r>
        <w:rPr>
          <w:rFonts w:cstheme="minorHAnsi"/>
        </w:rPr>
        <w:t>კვლევა</w:t>
      </w:r>
      <w:proofErr w:type="spellEnd"/>
      <w:proofErr w:type="gramEnd"/>
      <w:r>
        <w:rPr>
          <w:rFonts w:cstheme="minorHAnsi"/>
        </w:rPr>
        <w:t xml:space="preserve"> </w:t>
      </w:r>
      <w:r w:rsidR="00DA08E7" w:rsidRPr="00C5509B">
        <w:rPr>
          <w:rFonts w:cstheme="minorHAnsi"/>
          <w:lang w:val="ka-GE"/>
        </w:rPr>
        <w:t>უნდა</w:t>
      </w:r>
      <w:r w:rsidR="00DA08E7" w:rsidRPr="00DA08E7">
        <w:rPr>
          <w:rFonts w:cstheme="minorHAnsi"/>
          <w:lang w:val="ka-GE"/>
        </w:rPr>
        <w:t xml:space="preserve"> მოიცავდეს ტუბერკულოზისა და აივ ინფექცია/შიდსის დიაგნოსტიკის და მკურნალობის პროცესის ანალიზს პაციენტის პერსპექტივის გათვალისწინებით (პირისპირ ინტერვიუებს სტრუქტურირებული კითხვარის მეშვეობით და ინდივიდუალურ ნახევრად სტრუქტურირებულ ინტერვიუებს).</w:t>
      </w:r>
    </w:p>
    <w:p w14:paraId="5115D20E" w14:textId="77777777" w:rsidR="00DA08E7" w:rsidRPr="00DA08E7" w:rsidRDefault="00DA08E7" w:rsidP="00DA08E7">
      <w:pPr>
        <w:shd w:val="clear" w:color="auto" w:fill="FFFFFF"/>
        <w:jc w:val="both"/>
        <w:rPr>
          <w:rFonts w:cstheme="minorHAnsi"/>
          <w:lang w:val="ka-GE"/>
        </w:rPr>
      </w:pPr>
      <w:r w:rsidRPr="00DA08E7">
        <w:rPr>
          <w:rFonts w:cstheme="minorHAnsi"/>
          <w:lang w:val="ka-GE"/>
        </w:rPr>
        <w:t>რეპრეზენტატული შერჩევის მიზნით შერჩევის მეთოდს და სტრატეგიას განსაზღვრავს კონტრაქტორი შემსყიდველთან შეთანხმებით.</w:t>
      </w:r>
    </w:p>
    <w:p w14:paraId="4D283D00" w14:textId="77777777" w:rsidR="00DA08E7" w:rsidRPr="00DA08E7" w:rsidRDefault="00DA08E7" w:rsidP="00DA08E7">
      <w:pPr>
        <w:shd w:val="clear" w:color="auto" w:fill="FFFFFF"/>
        <w:jc w:val="both"/>
        <w:rPr>
          <w:rFonts w:cstheme="minorHAnsi"/>
          <w:lang w:val="ka-GE"/>
        </w:rPr>
      </w:pPr>
      <w:r w:rsidRPr="00DA08E7">
        <w:rPr>
          <w:rFonts w:cstheme="minorHAnsi"/>
          <w:lang w:val="ka-GE"/>
        </w:rPr>
        <w:t>კვლევის საბოლოო დოკუმენტები წარდგენილი უნდა იყოს ქართულ და ინგლისურ ენებზე.</w:t>
      </w:r>
    </w:p>
    <w:p w14:paraId="1BB901A5" w14:textId="77777777" w:rsidR="00B279A8" w:rsidRPr="001955BD" w:rsidRDefault="00B279A8" w:rsidP="00C51311">
      <w:pPr>
        <w:jc w:val="both"/>
        <w:rPr>
          <w:rFonts w:cstheme="minorHAnsi"/>
        </w:rPr>
      </w:pPr>
      <w:r w:rsidRPr="00DA08E7">
        <w:rPr>
          <w:rFonts w:cstheme="minorHAnsi"/>
          <w:b/>
          <w:lang w:val="ka-GE"/>
        </w:rPr>
        <w:t>აქტივობა</w:t>
      </w:r>
      <w:r w:rsidR="001955BD" w:rsidRPr="00DA08E7">
        <w:rPr>
          <w:rFonts w:cstheme="minorHAnsi"/>
          <w:b/>
          <w:lang w:val="ka-GE"/>
        </w:rPr>
        <w:t xml:space="preserve"> 2.2</w:t>
      </w:r>
      <w:r w:rsidRPr="00595EBC">
        <w:rPr>
          <w:rFonts w:cstheme="minorHAnsi"/>
          <w:lang w:val="ka-GE"/>
        </w:rPr>
        <w:t xml:space="preserve"> აივ და ტუბერკულოზის მოწყვლად პოპულაციებში ადამიანის უფლებებთან და გენდერთან დაკავშირებული ბარიერების კვლევის მონაცემთა ანალიზი და ანგარიშის მომზადება</w:t>
      </w:r>
      <w:r w:rsidR="001955BD">
        <w:rPr>
          <w:rFonts w:cstheme="minorHAnsi"/>
        </w:rPr>
        <w:t>;</w:t>
      </w:r>
    </w:p>
    <w:p w14:paraId="2380C5D9" w14:textId="2943DE18" w:rsidR="00B279A8" w:rsidRPr="00595EBC" w:rsidRDefault="00B279A8" w:rsidP="00B279A8">
      <w:pPr>
        <w:jc w:val="both"/>
        <w:rPr>
          <w:rFonts w:cstheme="minorHAnsi"/>
        </w:rPr>
      </w:pPr>
      <w:r w:rsidRPr="009B7590">
        <w:rPr>
          <w:rFonts w:cstheme="minorHAnsi"/>
          <w:b/>
          <w:lang w:val="ka-GE"/>
        </w:rPr>
        <w:t>აქტივობა 3.1</w:t>
      </w:r>
      <w:r w:rsidRPr="00595EBC">
        <w:rPr>
          <w:rFonts w:cstheme="minorHAnsi"/>
          <w:lang w:val="ka-GE"/>
        </w:rPr>
        <w:t xml:space="preserve"> აივ და ტუბერკულოზის მოწყვლად პოპულაციებში გამოვლენილი ბარიერების დასაძლევად </w:t>
      </w:r>
      <w:r w:rsidR="009B7590">
        <w:rPr>
          <w:rFonts w:cstheme="minorHAnsi"/>
          <w:lang w:val="ka-GE"/>
        </w:rPr>
        <w:t>რეკომენდაციების</w:t>
      </w:r>
      <w:r w:rsidRPr="00595EBC">
        <w:rPr>
          <w:rFonts w:cstheme="minorHAnsi"/>
          <w:lang w:val="ka-GE"/>
        </w:rPr>
        <w:t xml:space="preserve"> შემუშავება</w:t>
      </w:r>
      <w:r w:rsidR="001955BD">
        <w:rPr>
          <w:rFonts w:cstheme="minorHAnsi"/>
          <w:lang w:val="ka-GE"/>
        </w:rPr>
        <w:t>;</w:t>
      </w:r>
    </w:p>
    <w:p w14:paraId="77BB98DF" w14:textId="77777777" w:rsidR="00DA08E7" w:rsidRPr="00B814D0" w:rsidRDefault="00DA08E7" w:rsidP="00DA08E7">
      <w:pPr>
        <w:pStyle w:val="Default"/>
        <w:spacing w:before="240"/>
        <w:rPr>
          <w:rFonts w:asciiTheme="minorHAnsi" w:hAnsiTheme="minorHAnsi" w:cstheme="minorHAnsi"/>
          <w:b/>
          <w:color w:val="auto"/>
          <w:sz w:val="22"/>
          <w:szCs w:val="22"/>
          <w:lang w:val="ka-GE"/>
        </w:rPr>
      </w:pPr>
      <w:r w:rsidRPr="00B814D0">
        <w:rPr>
          <w:rFonts w:asciiTheme="minorHAnsi" w:hAnsiTheme="minorHAnsi" w:cstheme="minorHAnsi"/>
          <w:b/>
          <w:color w:val="auto"/>
          <w:sz w:val="22"/>
          <w:szCs w:val="22"/>
          <w:lang w:val="ka-GE"/>
        </w:rPr>
        <w:t xml:space="preserve">ზედამხედველობა </w:t>
      </w:r>
    </w:p>
    <w:p w14:paraId="72E4980C" w14:textId="77777777" w:rsidR="00DA08E7" w:rsidRPr="00B814D0" w:rsidRDefault="00DA08E7" w:rsidP="00DA08E7">
      <w:pPr>
        <w:pStyle w:val="Default"/>
        <w:spacing w:before="240"/>
        <w:jc w:val="both"/>
        <w:rPr>
          <w:rFonts w:asciiTheme="minorHAnsi" w:hAnsiTheme="minorHAnsi" w:cstheme="minorHAnsi"/>
          <w:b/>
          <w:color w:val="auto"/>
          <w:sz w:val="22"/>
          <w:szCs w:val="22"/>
          <w:lang w:val="ka-GE"/>
        </w:rPr>
      </w:pPr>
      <w:r w:rsidRPr="00B814D0">
        <w:rPr>
          <w:rFonts w:asciiTheme="minorHAnsi" w:hAnsiTheme="minorHAnsi" w:cstheme="minorHAnsi"/>
          <w:color w:val="auto"/>
          <w:sz w:val="22"/>
          <w:szCs w:val="22"/>
          <w:lang w:val="ka-GE"/>
        </w:rPr>
        <w:t xml:space="preserve">პროექტის განხორციელებას ზედამხედველობას გაუწევს </w:t>
      </w:r>
      <w:r w:rsidRPr="00B814D0">
        <w:rPr>
          <w:rFonts w:asciiTheme="minorHAnsi" w:hAnsiTheme="minorHAnsi" w:cstheme="minorHAnsi"/>
          <w:sz w:val="22"/>
          <w:szCs w:val="22"/>
          <w:lang w:val="ka-GE"/>
        </w:rPr>
        <w:t>დაავადებათა კონტროლისა და საზოგადოებრივი ჯანმრთელობის ეროვნული ცენტრის</w:t>
      </w:r>
      <w:r w:rsidRPr="00B814D0">
        <w:rPr>
          <w:rFonts w:asciiTheme="minorHAnsi" w:hAnsiTheme="minorHAnsi" w:cstheme="minorHAnsi"/>
          <w:color w:val="auto"/>
          <w:sz w:val="22"/>
          <w:szCs w:val="22"/>
          <w:lang w:val="ka-GE"/>
        </w:rPr>
        <w:t xml:space="preserve"> გლობალური ფონდის ტუბერკულოზის პროგრამის განხორციელების ჯგუფი. </w:t>
      </w:r>
    </w:p>
    <w:p w14:paraId="46A9FA12" w14:textId="77777777" w:rsidR="00DA08E7" w:rsidRPr="00B814D0" w:rsidRDefault="00DA08E7" w:rsidP="00DA08E7">
      <w:pPr>
        <w:pStyle w:val="Default"/>
        <w:rPr>
          <w:rFonts w:asciiTheme="minorHAnsi" w:hAnsiTheme="minorHAnsi" w:cstheme="minorHAnsi"/>
          <w:color w:val="auto"/>
          <w:sz w:val="22"/>
          <w:szCs w:val="22"/>
          <w:lang w:val="ka-GE"/>
        </w:rPr>
      </w:pPr>
    </w:p>
    <w:p w14:paraId="0A0A15BE" w14:textId="55B4DD55" w:rsidR="008E471E" w:rsidRDefault="003B2770" w:rsidP="003B2770">
      <w:pPr>
        <w:pStyle w:val="Default"/>
        <w:rPr>
          <w:rFonts w:asciiTheme="minorHAnsi" w:hAnsiTheme="minorHAnsi" w:cstheme="minorHAnsi"/>
          <w:color w:val="000000" w:themeColor="text1"/>
          <w:sz w:val="22"/>
          <w:szCs w:val="22"/>
          <w:lang w:val="ka-GE"/>
        </w:rPr>
      </w:pPr>
      <w:r>
        <w:rPr>
          <w:rFonts w:asciiTheme="minorHAnsi" w:hAnsiTheme="minorHAnsi" w:cstheme="minorHAnsi"/>
          <w:b/>
          <w:color w:val="auto"/>
          <w:sz w:val="22"/>
          <w:szCs w:val="22"/>
          <w:lang w:val="ka-GE"/>
        </w:rPr>
        <w:lastRenderedPageBreak/>
        <w:t>დაინტერესებულ</w:t>
      </w:r>
      <w:r>
        <w:rPr>
          <w:rFonts w:asciiTheme="minorHAnsi" w:hAnsiTheme="minorHAnsi" w:cstheme="minorHAnsi"/>
          <w:b/>
          <w:color w:val="auto"/>
          <w:sz w:val="22"/>
          <w:szCs w:val="22"/>
          <w:lang w:val="ru-RU"/>
        </w:rPr>
        <w:t>ი</w:t>
      </w:r>
      <w:r w:rsidR="00DA08E7" w:rsidRPr="00B814D0">
        <w:rPr>
          <w:rFonts w:asciiTheme="minorHAnsi" w:hAnsiTheme="minorHAnsi" w:cstheme="minorHAnsi"/>
          <w:b/>
          <w:color w:val="auto"/>
          <w:sz w:val="22"/>
          <w:szCs w:val="22"/>
          <w:lang w:val="ka-GE"/>
        </w:rPr>
        <w:t xml:space="preserve"> </w:t>
      </w:r>
      <w:r w:rsidR="00A04126">
        <w:rPr>
          <w:rFonts w:asciiTheme="minorHAnsi" w:hAnsiTheme="minorHAnsi" w:cstheme="minorHAnsi"/>
          <w:b/>
          <w:color w:val="auto"/>
          <w:sz w:val="22"/>
          <w:szCs w:val="22"/>
          <w:lang w:val="ka-GE"/>
        </w:rPr>
        <w:t>ორგანიზაცი</w:t>
      </w:r>
      <w:r>
        <w:rPr>
          <w:rFonts w:asciiTheme="minorHAnsi" w:hAnsiTheme="minorHAnsi" w:cstheme="minorHAnsi"/>
          <w:b/>
          <w:color w:val="auto"/>
          <w:sz w:val="22"/>
          <w:szCs w:val="22"/>
          <w:lang w:val="ru-RU"/>
        </w:rPr>
        <w:t xml:space="preserve">ის </w:t>
      </w:r>
      <w:r w:rsidR="00A04126" w:rsidRPr="00B814D0">
        <w:rPr>
          <w:rFonts w:cstheme="minorHAnsi"/>
          <w:b/>
          <w:spacing w:val="-1"/>
          <w:position w:val="1"/>
          <w:szCs w:val="20"/>
          <w:lang w:val="ka-GE"/>
        </w:rPr>
        <w:t>და/ან მის სუბკონტრაქტორ</w:t>
      </w:r>
      <w:r w:rsidR="00A04126">
        <w:rPr>
          <w:rFonts w:cstheme="minorHAnsi"/>
          <w:b/>
          <w:spacing w:val="-1"/>
          <w:position w:val="1"/>
          <w:szCs w:val="20"/>
          <w:lang w:val="ru-RU"/>
        </w:rPr>
        <w:t>ი</w:t>
      </w:r>
      <w:r w:rsidR="00A04126" w:rsidRPr="00B814D0">
        <w:rPr>
          <w:rFonts w:cstheme="minorHAnsi"/>
          <w:b/>
          <w:spacing w:val="-1"/>
          <w:position w:val="1"/>
          <w:szCs w:val="20"/>
          <w:lang w:val="ka-GE"/>
        </w:rPr>
        <w:t>ს</w:t>
      </w:r>
      <w:r w:rsidR="00A04126">
        <w:rPr>
          <w:rFonts w:cstheme="minorHAnsi"/>
          <w:b/>
          <w:spacing w:val="-1"/>
          <w:position w:val="1"/>
          <w:szCs w:val="20"/>
          <w:lang w:val="ka-GE"/>
        </w:rPr>
        <w:t xml:space="preserve"> </w:t>
      </w:r>
      <w:r w:rsidR="00A04126">
        <w:rPr>
          <w:rFonts w:cstheme="minorHAnsi"/>
          <w:b/>
          <w:spacing w:val="-1"/>
          <w:position w:val="1"/>
          <w:szCs w:val="20"/>
          <w:lang w:val="ru-RU"/>
        </w:rPr>
        <w:t>(არსებობის შემთხვევაში)</w:t>
      </w:r>
      <w:r w:rsidR="00A04126" w:rsidRPr="00B814D0">
        <w:rPr>
          <w:rFonts w:cstheme="minorHAnsi"/>
          <w:b/>
          <w:spacing w:val="-1"/>
          <w:position w:val="1"/>
          <w:szCs w:val="20"/>
          <w:lang w:val="ka-GE"/>
        </w:rPr>
        <w:t xml:space="preserve"> </w:t>
      </w:r>
      <w:r>
        <w:rPr>
          <w:rFonts w:asciiTheme="minorHAnsi" w:hAnsiTheme="minorHAnsi" w:cstheme="minorHAnsi"/>
          <w:b/>
          <w:color w:val="auto"/>
          <w:sz w:val="22"/>
          <w:szCs w:val="22"/>
          <w:lang w:val="ru-RU"/>
        </w:rPr>
        <w:t>მიმართ განსაზღვრული მოთხოვნები:</w:t>
      </w:r>
      <w:r w:rsidR="00DA08E7" w:rsidRPr="00B814D0">
        <w:rPr>
          <w:rFonts w:asciiTheme="minorHAnsi" w:hAnsiTheme="minorHAnsi" w:cstheme="minorHAnsi"/>
          <w:b/>
          <w:color w:val="auto"/>
          <w:sz w:val="22"/>
          <w:szCs w:val="22"/>
          <w:lang w:val="ka-GE"/>
        </w:rPr>
        <w:t xml:space="preserve"> </w:t>
      </w:r>
    </w:p>
    <w:p w14:paraId="3FF0C748" w14:textId="77777777" w:rsidR="008E471E" w:rsidRDefault="008E471E" w:rsidP="008E471E">
      <w:pPr>
        <w:pStyle w:val="Default"/>
        <w:jc w:val="both"/>
        <w:rPr>
          <w:rFonts w:asciiTheme="minorHAnsi" w:hAnsiTheme="minorHAnsi" w:cstheme="minorHAnsi"/>
          <w:color w:val="000000" w:themeColor="text1"/>
          <w:sz w:val="22"/>
          <w:szCs w:val="22"/>
          <w:lang w:val="ka-GE"/>
        </w:rPr>
      </w:pPr>
    </w:p>
    <w:p w14:paraId="09F73C78" w14:textId="48FA5C05" w:rsidR="003B2770" w:rsidRDefault="00A04126" w:rsidP="003B2770">
      <w:pPr>
        <w:widowControl w:val="0"/>
        <w:tabs>
          <w:tab w:val="left" w:pos="3046"/>
          <w:tab w:val="left" w:pos="4592"/>
          <w:tab w:val="left" w:pos="9630"/>
          <w:tab w:val="left" w:pos="10632"/>
        </w:tabs>
        <w:ind w:right="637"/>
        <w:jc w:val="both"/>
        <w:rPr>
          <w:rFonts w:ascii="Sylfaen" w:eastAsia="Sylfaen" w:hAnsi="Sylfaen" w:cs="Sylfaen"/>
        </w:rPr>
      </w:pPr>
      <w:r>
        <w:rPr>
          <w:rFonts w:ascii="Sylfaen" w:eastAsia="Sylfaen" w:hAnsi="Sylfaen" w:cs="Sylfaen"/>
          <w:lang w:val="ru-RU"/>
        </w:rPr>
        <w:t xml:space="preserve">- </w:t>
      </w:r>
      <w:proofErr w:type="spellStart"/>
      <w:r w:rsidRPr="00B814D0">
        <w:rPr>
          <w:rFonts w:cstheme="minorHAnsi"/>
          <w:spacing w:val="-1"/>
          <w:position w:val="1"/>
          <w:szCs w:val="20"/>
        </w:rPr>
        <w:t>პროექტის</w:t>
      </w:r>
      <w:proofErr w:type="spellEnd"/>
      <w:r w:rsidRPr="00B814D0">
        <w:rPr>
          <w:rFonts w:cstheme="minorHAnsi"/>
          <w:spacing w:val="-1"/>
          <w:position w:val="1"/>
          <w:szCs w:val="20"/>
        </w:rPr>
        <w:t xml:space="preserve"> </w:t>
      </w:r>
      <w:proofErr w:type="spellStart"/>
      <w:r w:rsidRPr="00B814D0">
        <w:rPr>
          <w:rFonts w:cstheme="minorHAnsi"/>
          <w:spacing w:val="-1"/>
          <w:position w:val="1"/>
          <w:szCs w:val="20"/>
        </w:rPr>
        <w:t>სამიზნე</w:t>
      </w:r>
      <w:proofErr w:type="spellEnd"/>
      <w:r w:rsidRPr="00B814D0">
        <w:rPr>
          <w:rFonts w:cstheme="minorHAnsi"/>
          <w:spacing w:val="-1"/>
          <w:position w:val="1"/>
          <w:szCs w:val="20"/>
        </w:rPr>
        <w:t xml:space="preserve"> </w:t>
      </w:r>
      <w:proofErr w:type="spellStart"/>
      <w:r w:rsidRPr="00B814D0">
        <w:rPr>
          <w:rFonts w:cstheme="minorHAnsi"/>
          <w:spacing w:val="-1"/>
          <w:position w:val="1"/>
          <w:szCs w:val="20"/>
        </w:rPr>
        <w:t>პოპულაციასთან</w:t>
      </w:r>
      <w:proofErr w:type="spellEnd"/>
      <w:r w:rsidRPr="00B814D0">
        <w:rPr>
          <w:rFonts w:cstheme="minorHAnsi"/>
          <w:spacing w:val="-1"/>
          <w:position w:val="1"/>
          <w:szCs w:val="20"/>
        </w:rPr>
        <w:t xml:space="preserve"> </w:t>
      </w:r>
      <w:proofErr w:type="spellStart"/>
      <w:r w:rsidRPr="00B814D0">
        <w:rPr>
          <w:rFonts w:cstheme="minorHAnsi"/>
          <w:spacing w:val="-1"/>
          <w:position w:val="1"/>
          <w:szCs w:val="20"/>
        </w:rPr>
        <w:t>მუშაობის</w:t>
      </w:r>
      <w:proofErr w:type="spellEnd"/>
      <w:r w:rsidRPr="00B814D0">
        <w:rPr>
          <w:rFonts w:cstheme="minorHAnsi"/>
          <w:spacing w:val="-1"/>
          <w:position w:val="1"/>
          <w:szCs w:val="20"/>
        </w:rPr>
        <w:t xml:space="preserve"> </w:t>
      </w:r>
      <w:proofErr w:type="spellStart"/>
      <w:r w:rsidRPr="00B814D0">
        <w:rPr>
          <w:rFonts w:cstheme="minorHAnsi"/>
          <w:spacing w:val="-1"/>
          <w:position w:val="1"/>
          <w:szCs w:val="20"/>
        </w:rPr>
        <w:t>გამოცდილება</w:t>
      </w:r>
      <w:proofErr w:type="spellEnd"/>
      <w:r>
        <w:rPr>
          <w:rFonts w:ascii="Sylfaen" w:eastAsia="Sylfaen" w:hAnsi="Sylfaen" w:cs="Sylfaen"/>
          <w:lang w:val="ru-RU"/>
        </w:rPr>
        <w:t xml:space="preserve">. </w:t>
      </w:r>
      <w:proofErr w:type="spellStart"/>
      <w:proofErr w:type="gramStart"/>
      <w:r w:rsidR="003B2770" w:rsidRPr="003B2770">
        <w:rPr>
          <w:rFonts w:ascii="Sylfaen" w:eastAsia="Sylfaen" w:hAnsi="Sylfaen" w:cs="Sylfaen"/>
        </w:rPr>
        <w:t>აღნიშნული</w:t>
      </w:r>
      <w:proofErr w:type="spellEnd"/>
      <w:proofErr w:type="gramEnd"/>
      <w:r w:rsidR="003B2770" w:rsidRPr="003B2770">
        <w:rPr>
          <w:rFonts w:ascii="Sylfaen" w:eastAsia="Sylfaen" w:hAnsi="Sylfaen" w:cs="Sylfaen"/>
        </w:rPr>
        <w:t xml:space="preserve"> </w:t>
      </w:r>
      <w:proofErr w:type="spellStart"/>
      <w:r w:rsidR="003B2770" w:rsidRPr="003B2770">
        <w:rPr>
          <w:rFonts w:ascii="Sylfaen" w:eastAsia="Sylfaen" w:hAnsi="Sylfaen" w:cs="Sylfaen"/>
        </w:rPr>
        <w:t>კრიტერიუმის</w:t>
      </w:r>
      <w:proofErr w:type="spellEnd"/>
      <w:r w:rsidR="003B2770" w:rsidRPr="003B2770">
        <w:rPr>
          <w:rFonts w:ascii="Sylfaen" w:eastAsia="Sylfaen" w:hAnsi="Sylfaen" w:cs="Sylfaen"/>
        </w:rPr>
        <w:t xml:space="preserve"> </w:t>
      </w:r>
      <w:proofErr w:type="spellStart"/>
      <w:r w:rsidR="003B2770" w:rsidRPr="003B2770">
        <w:rPr>
          <w:rFonts w:ascii="Sylfaen" w:eastAsia="Sylfaen" w:hAnsi="Sylfaen" w:cs="Sylfaen"/>
        </w:rPr>
        <w:t>შესაბამისობის</w:t>
      </w:r>
      <w:proofErr w:type="spellEnd"/>
      <w:r w:rsidR="003B2770" w:rsidRPr="003B2770">
        <w:rPr>
          <w:rFonts w:ascii="Sylfaen" w:eastAsia="Sylfaen" w:hAnsi="Sylfaen" w:cs="Sylfaen"/>
        </w:rPr>
        <w:t xml:space="preserve"> </w:t>
      </w:r>
      <w:proofErr w:type="spellStart"/>
      <w:r w:rsidR="003B2770" w:rsidRPr="003B2770">
        <w:rPr>
          <w:rFonts w:ascii="Sylfaen" w:eastAsia="Sylfaen" w:hAnsi="Sylfaen" w:cs="Sylfaen"/>
        </w:rPr>
        <w:t>დადგენის</w:t>
      </w:r>
      <w:proofErr w:type="spellEnd"/>
      <w:r w:rsidR="003B2770" w:rsidRPr="003B2770">
        <w:rPr>
          <w:rFonts w:ascii="Sylfaen" w:eastAsia="Sylfaen" w:hAnsi="Sylfaen" w:cs="Sylfaen"/>
        </w:rPr>
        <w:t xml:space="preserve"> </w:t>
      </w:r>
      <w:proofErr w:type="spellStart"/>
      <w:r w:rsidR="003B2770" w:rsidRPr="003B2770">
        <w:rPr>
          <w:rFonts w:ascii="Sylfaen" w:eastAsia="Sylfaen" w:hAnsi="Sylfaen" w:cs="Sylfaen"/>
        </w:rPr>
        <w:t>მიზნით</w:t>
      </w:r>
      <w:proofErr w:type="spellEnd"/>
      <w:r w:rsidR="003B2770" w:rsidRPr="003B2770">
        <w:rPr>
          <w:rFonts w:ascii="Sylfaen" w:eastAsia="Sylfaen" w:hAnsi="Sylfaen" w:cs="Sylfaen"/>
        </w:rPr>
        <w:t xml:space="preserve">, </w:t>
      </w:r>
      <w:proofErr w:type="spellStart"/>
      <w:r w:rsidR="003B2770" w:rsidRPr="003B2770">
        <w:rPr>
          <w:rFonts w:ascii="Sylfaen" w:eastAsia="Sylfaen" w:hAnsi="Sylfaen" w:cs="Sylfaen"/>
        </w:rPr>
        <w:t>პრეტენდენტმა</w:t>
      </w:r>
      <w:proofErr w:type="spellEnd"/>
      <w:r w:rsidR="003B2770" w:rsidRPr="003B2770">
        <w:rPr>
          <w:rFonts w:ascii="Sylfaen" w:eastAsia="Sylfaen" w:hAnsi="Sylfaen" w:cs="Sylfaen"/>
        </w:rPr>
        <w:t xml:space="preserve"> </w:t>
      </w:r>
      <w:proofErr w:type="spellStart"/>
      <w:r w:rsidR="003B2770" w:rsidRPr="003B2770">
        <w:rPr>
          <w:rFonts w:ascii="Sylfaen" w:eastAsia="Sylfaen" w:hAnsi="Sylfaen" w:cs="Sylfaen"/>
        </w:rPr>
        <w:t>უნდა</w:t>
      </w:r>
      <w:proofErr w:type="spellEnd"/>
      <w:r w:rsidR="003B2770" w:rsidRPr="003B2770">
        <w:rPr>
          <w:rFonts w:ascii="Sylfaen" w:eastAsia="Sylfaen" w:hAnsi="Sylfaen" w:cs="Sylfaen"/>
        </w:rPr>
        <w:t xml:space="preserve"> </w:t>
      </w:r>
      <w:proofErr w:type="spellStart"/>
      <w:r w:rsidR="003B2770" w:rsidRPr="003B2770">
        <w:rPr>
          <w:rFonts w:ascii="Sylfaen" w:eastAsia="Sylfaen" w:hAnsi="Sylfaen" w:cs="Sylfaen"/>
        </w:rPr>
        <w:t>წარმოადგინოს</w:t>
      </w:r>
      <w:proofErr w:type="spellEnd"/>
      <w:r w:rsidR="003B2770" w:rsidRPr="003B2770">
        <w:rPr>
          <w:rFonts w:ascii="Sylfaen" w:eastAsia="Sylfaen" w:hAnsi="Sylfaen" w:cs="Sylfaen"/>
        </w:rPr>
        <w:t xml:space="preserve"> </w:t>
      </w:r>
      <w:proofErr w:type="spellStart"/>
      <w:r w:rsidR="003B2770" w:rsidRPr="003B2770">
        <w:rPr>
          <w:rFonts w:ascii="Sylfaen" w:eastAsia="Sylfaen" w:hAnsi="Sylfaen" w:cs="Sylfaen"/>
        </w:rPr>
        <w:t>შესაბამისი</w:t>
      </w:r>
      <w:proofErr w:type="spellEnd"/>
      <w:r w:rsidR="003B2770" w:rsidRPr="003B2770">
        <w:rPr>
          <w:rFonts w:ascii="Sylfaen" w:eastAsia="Sylfaen" w:hAnsi="Sylfaen" w:cs="Sylfaen"/>
        </w:rPr>
        <w:t xml:space="preserve"> </w:t>
      </w:r>
      <w:proofErr w:type="spellStart"/>
      <w:r w:rsidR="003B2770" w:rsidRPr="003B2770">
        <w:rPr>
          <w:rFonts w:ascii="Sylfaen" w:eastAsia="Sylfaen" w:hAnsi="Sylfaen" w:cs="Sylfaen"/>
        </w:rPr>
        <w:t>დოკუმენტები</w:t>
      </w:r>
      <w:proofErr w:type="spellEnd"/>
      <w:r w:rsidR="003B2770" w:rsidRPr="003B2770">
        <w:rPr>
          <w:rFonts w:ascii="Sylfaen" w:eastAsia="Sylfaen" w:hAnsi="Sylfaen" w:cs="Sylfaen"/>
        </w:rPr>
        <w:t>;</w:t>
      </w:r>
    </w:p>
    <w:p w14:paraId="799ADE1C" w14:textId="77777777" w:rsidR="003B2770" w:rsidRDefault="003B2770" w:rsidP="003B2770">
      <w:pPr>
        <w:tabs>
          <w:tab w:val="left" w:pos="3046"/>
          <w:tab w:val="left" w:pos="4592"/>
          <w:tab w:val="left" w:pos="9630"/>
          <w:tab w:val="left" w:pos="10632"/>
        </w:tabs>
        <w:ind w:right="637"/>
        <w:jc w:val="both"/>
        <w:rPr>
          <w:rFonts w:ascii="Sylfaen" w:eastAsia="Sylfaen" w:hAnsi="Sylfaen" w:cs="Sylfaen"/>
          <w:b/>
          <w:lang w:val="ka-GE"/>
        </w:rPr>
      </w:pPr>
      <w:r w:rsidRPr="00CB75C9">
        <w:rPr>
          <w:rFonts w:ascii="Sylfaen" w:eastAsia="Sylfaen" w:hAnsi="Sylfaen" w:cs="Sylfaen"/>
          <w:b/>
          <w:lang w:val="ka-GE"/>
        </w:rPr>
        <w:t>ძირითადი პერსონალის მიმართ განსაზღვრული მოთხოვნები:</w:t>
      </w:r>
    </w:p>
    <w:p w14:paraId="40C32105" w14:textId="2EAD49F1" w:rsidR="003B2770" w:rsidRPr="00A04126" w:rsidRDefault="003B2770" w:rsidP="00A04126">
      <w:pPr>
        <w:widowControl w:val="0"/>
        <w:tabs>
          <w:tab w:val="left" w:pos="10632"/>
        </w:tabs>
        <w:autoSpaceDE w:val="0"/>
        <w:autoSpaceDN w:val="0"/>
        <w:adjustRightInd w:val="0"/>
        <w:ind w:right="78"/>
        <w:jc w:val="both"/>
        <w:rPr>
          <w:rFonts w:ascii="Sylfaen" w:eastAsia="Sylfaen" w:hAnsi="Sylfaen" w:cs="Sylfaen"/>
          <w:lang w:val="ru-RU"/>
        </w:rPr>
      </w:pPr>
      <w:r w:rsidRPr="00A04126">
        <w:rPr>
          <w:rFonts w:ascii="Sylfaen" w:eastAsia="Sylfaen" w:hAnsi="Sylfaen" w:cs="Sylfaen"/>
          <w:b/>
          <w:lang w:val="ru-RU"/>
        </w:rPr>
        <w:t xml:space="preserve">- </w:t>
      </w:r>
      <w:r w:rsidR="00A04126" w:rsidRPr="00A04126">
        <w:rPr>
          <w:rFonts w:cstheme="minorHAnsi"/>
          <w:color w:val="000000"/>
          <w:spacing w:val="-1"/>
          <w:position w:val="1"/>
          <w:szCs w:val="20"/>
        </w:rPr>
        <w:t xml:space="preserve">პროექტში დასაქმებულ ძირითად პერსონალს უნდა ჰქონდეს </w:t>
      </w:r>
      <w:proofErr w:type="spellStart"/>
      <w:r w:rsidR="00A04126" w:rsidRPr="00A04126">
        <w:rPr>
          <w:rFonts w:cstheme="minorHAnsi"/>
          <w:color w:val="000000"/>
          <w:spacing w:val="-1"/>
          <w:position w:val="1"/>
          <w:szCs w:val="20"/>
        </w:rPr>
        <w:t>ანალოგიური</w:t>
      </w:r>
      <w:proofErr w:type="spellEnd"/>
      <w:r w:rsidR="00A04126" w:rsidRPr="00A04126">
        <w:rPr>
          <w:rFonts w:cstheme="minorHAnsi"/>
          <w:color w:val="000000"/>
          <w:spacing w:val="-1"/>
          <w:position w:val="1"/>
          <w:szCs w:val="20"/>
        </w:rPr>
        <w:t xml:space="preserve"> </w:t>
      </w:r>
      <w:proofErr w:type="spellStart"/>
      <w:r w:rsidR="00A04126" w:rsidRPr="00A04126">
        <w:rPr>
          <w:rFonts w:cstheme="minorHAnsi"/>
          <w:color w:val="000000"/>
          <w:spacing w:val="-1"/>
          <w:position w:val="1"/>
          <w:szCs w:val="20"/>
        </w:rPr>
        <w:t>მომსახურების</w:t>
      </w:r>
      <w:proofErr w:type="spellEnd"/>
      <w:r w:rsidR="00A04126" w:rsidRPr="00A04126">
        <w:rPr>
          <w:rFonts w:cstheme="minorHAnsi"/>
          <w:color w:val="000000"/>
          <w:spacing w:val="-1"/>
          <w:position w:val="1"/>
          <w:szCs w:val="20"/>
        </w:rPr>
        <w:t xml:space="preserve"> </w:t>
      </w:r>
      <w:proofErr w:type="spellStart"/>
      <w:r w:rsidR="00A04126" w:rsidRPr="00A04126">
        <w:rPr>
          <w:rFonts w:cstheme="minorHAnsi"/>
          <w:color w:val="000000"/>
          <w:spacing w:val="-1"/>
          <w:position w:val="1"/>
          <w:szCs w:val="20"/>
        </w:rPr>
        <w:t>გაწევის</w:t>
      </w:r>
      <w:proofErr w:type="spellEnd"/>
      <w:r w:rsidR="00A04126" w:rsidRPr="00A04126">
        <w:rPr>
          <w:rFonts w:cstheme="minorHAnsi"/>
          <w:color w:val="000000"/>
          <w:spacing w:val="-1"/>
          <w:position w:val="1"/>
          <w:szCs w:val="20"/>
        </w:rPr>
        <w:t xml:space="preserve"> </w:t>
      </w:r>
      <w:proofErr w:type="spellStart"/>
      <w:r w:rsidR="00A04126" w:rsidRPr="00A04126">
        <w:rPr>
          <w:rFonts w:cstheme="minorHAnsi"/>
          <w:color w:val="000000"/>
          <w:spacing w:val="-1"/>
          <w:position w:val="1"/>
          <w:szCs w:val="20"/>
        </w:rPr>
        <w:t>გამოცდილება</w:t>
      </w:r>
      <w:proofErr w:type="spellEnd"/>
      <w:r w:rsidRPr="003B2770">
        <w:rPr>
          <w:rFonts w:ascii="Sylfaen" w:eastAsia="Sylfaen" w:hAnsi="Sylfaen" w:cs="Sylfaen"/>
          <w:b/>
          <w:lang w:val="ru-RU"/>
        </w:rPr>
        <w:t xml:space="preserve"> </w:t>
      </w:r>
      <w:proofErr w:type="spellStart"/>
      <w:r w:rsidRPr="003B2770">
        <w:rPr>
          <w:rFonts w:ascii="Sylfaen" w:eastAsia="Sylfaen" w:hAnsi="Sylfaen" w:cs="Sylfaen"/>
        </w:rPr>
        <w:t>მომსახურების</w:t>
      </w:r>
      <w:proofErr w:type="spellEnd"/>
      <w:r w:rsidRPr="003B2770">
        <w:rPr>
          <w:rFonts w:ascii="Sylfaen" w:eastAsia="Sylfaen" w:hAnsi="Sylfaen" w:cs="Sylfaen"/>
        </w:rPr>
        <w:t xml:space="preserve"> </w:t>
      </w:r>
      <w:proofErr w:type="spellStart"/>
      <w:r w:rsidRPr="003B2770">
        <w:rPr>
          <w:rFonts w:ascii="Sylfaen" w:eastAsia="Sylfaen" w:hAnsi="Sylfaen" w:cs="Sylfaen"/>
        </w:rPr>
        <w:t>განხორციელებაში</w:t>
      </w:r>
      <w:proofErr w:type="spellEnd"/>
      <w:r w:rsidRPr="003B2770">
        <w:rPr>
          <w:rFonts w:ascii="Sylfaen" w:eastAsia="Sylfaen" w:hAnsi="Sylfaen" w:cs="Sylfaen"/>
        </w:rPr>
        <w:t xml:space="preserve"> </w:t>
      </w:r>
      <w:proofErr w:type="spellStart"/>
      <w:r w:rsidRPr="003B2770">
        <w:rPr>
          <w:rFonts w:ascii="Sylfaen" w:eastAsia="Sylfaen" w:hAnsi="Sylfaen" w:cs="Sylfaen"/>
        </w:rPr>
        <w:t>ჩართული</w:t>
      </w:r>
      <w:proofErr w:type="spellEnd"/>
      <w:r w:rsidRPr="003B2770">
        <w:rPr>
          <w:rFonts w:ascii="Sylfaen" w:eastAsia="Sylfaen" w:hAnsi="Sylfaen" w:cs="Sylfaen"/>
        </w:rPr>
        <w:t xml:space="preserve"> </w:t>
      </w:r>
      <w:proofErr w:type="spellStart"/>
      <w:r w:rsidRPr="003B2770">
        <w:rPr>
          <w:rFonts w:ascii="Sylfaen" w:eastAsia="Sylfaen" w:hAnsi="Sylfaen" w:cs="Sylfaen"/>
        </w:rPr>
        <w:t>პერსონალის</w:t>
      </w:r>
      <w:proofErr w:type="spellEnd"/>
      <w:r w:rsidRPr="003B2770">
        <w:rPr>
          <w:rFonts w:ascii="Sylfaen" w:eastAsia="Sylfaen" w:hAnsi="Sylfaen" w:cs="Sylfaen"/>
        </w:rPr>
        <w:t xml:space="preserve"> </w:t>
      </w:r>
      <w:proofErr w:type="spellStart"/>
      <w:r w:rsidRPr="003B2770">
        <w:rPr>
          <w:rFonts w:ascii="Sylfaen" w:eastAsia="Sylfaen" w:hAnsi="Sylfaen" w:cs="Sylfaen"/>
        </w:rPr>
        <w:t>ბიოგრაფიული</w:t>
      </w:r>
      <w:proofErr w:type="spellEnd"/>
      <w:r w:rsidRPr="003B2770">
        <w:rPr>
          <w:rFonts w:ascii="Sylfaen" w:eastAsia="Sylfaen" w:hAnsi="Sylfaen" w:cs="Sylfaen"/>
        </w:rPr>
        <w:t xml:space="preserve"> </w:t>
      </w:r>
      <w:proofErr w:type="spellStart"/>
      <w:r w:rsidRPr="003B2770">
        <w:rPr>
          <w:rFonts w:ascii="Sylfaen" w:eastAsia="Sylfaen" w:hAnsi="Sylfaen" w:cs="Sylfaen"/>
        </w:rPr>
        <w:t>რეზიუმე</w:t>
      </w:r>
      <w:proofErr w:type="spellEnd"/>
      <w:r w:rsidR="00A04126">
        <w:rPr>
          <w:rFonts w:ascii="Sylfaen" w:eastAsia="Sylfaen" w:hAnsi="Sylfaen" w:cs="Sylfaen"/>
        </w:rPr>
        <w:t xml:space="preserve"> - CV და </w:t>
      </w:r>
      <w:proofErr w:type="spellStart"/>
      <w:r w:rsidR="00A04126">
        <w:rPr>
          <w:rFonts w:ascii="Sylfaen" w:eastAsia="Sylfaen" w:hAnsi="Sylfaen" w:cs="Sylfaen"/>
        </w:rPr>
        <w:t>სერ</w:t>
      </w:r>
      <w:proofErr w:type="spellEnd"/>
      <w:r w:rsidR="00A04126">
        <w:rPr>
          <w:rFonts w:ascii="Sylfaen" w:eastAsia="Sylfaen" w:hAnsi="Sylfaen" w:cs="Sylfaen"/>
          <w:lang w:val="ru-RU"/>
        </w:rPr>
        <w:t>თიფიკატები, სადაც რელევანტურია</w:t>
      </w:r>
    </w:p>
    <w:p w14:paraId="0E2BF094" w14:textId="347288D5" w:rsidR="003B2770" w:rsidRPr="003B2770" w:rsidRDefault="003B2770" w:rsidP="003B2770">
      <w:pPr>
        <w:widowControl w:val="0"/>
        <w:tabs>
          <w:tab w:val="left" w:pos="3046"/>
          <w:tab w:val="left" w:pos="4592"/>
          <w:tab w:val="left" w:pos="9630"/>
          <w:tab w:val="left" w:pos="10632"/>
        </w:tabs>
        <w:ind w:right="637"/>
        <w:jc w:val="both"/>
        <w:rPr>
          <w:rFonts w:ascii="Sylfaen" w:eastAsia="Sylfaen" w:hAnsi="Sylfaen" w:cs="Sylfaen"/>
          <w:b/>
          <w:lang w:val="ru-RU"/>
        </w:rPr>
      </w:pPr>
      <w:r>
        <w:rPr>
          <w:rFonts w:ascii="Sylfaen" w:eastAsia="Sylfaen" w:hAnsi="Sylfaen" w:cs="Sylfaen"/>
          <w:lang w:val="ru-RU"/>
        </w:rPr>
        <w:t xml:space="preserve">-  </w:t>
      </w:r>
      <w:proofErr w:type="spellStart"/>
      <w:r w:rsidRPr="003B2770">
        <w:rPr>
          <w:rFonts w:ascii="Sylfaen" w:eastAsia="Sylfaen" w:hAnsi="Sylfaen" w:cs="Sylfaen"/>
        </w:rPr>
        <w:t>მომსახურების</w:t>
      </w:r>
      <w:proofErr w:type="spellEnd"/>
      <w:r w:rsidRPr="003B2770">
        <w:rPr>
          <w:rFonts w:ascii="Sylfaen" w:eastAsia="Sylfaen" w:hAnsi="Sylfaen" w:cs="Sylfaen"/>
        </w:rPr>
        <w:t xml:space="preserve"> </w:t>
      </w:r>
      <w:proofErr w:type="spellStart"/>
      <w:r w:rsidRPr="003B2770">
        <w:rPr>
          <w:rFonts w:ascii="Sylfaen" w:eastAsia="Sylfaen" w:hAnsi="Sylfaen" w:cs="Sylfaen"/>
        </w:rPr>
        <w:t>განხორციელებაში</w:t>
      </w:r>
      <w:proofErr w:type="spellEnd"/>
      <w:r w:rsidRPr="003B2770">
        <w:rPr>
          <w:rFonts w:ascii="Sylfaen" w:eastAsia="Sylfaen" w:hAnsi="Sylfaen" w:cs="Sylfaen"/>
        </w:rPr>
        <w:t xml:space="preserve"> </w:t>
      </w:r>
      <w:proofErr w:type="spellStart"/>
      <w:r w:rsidRPr="003B2770">
        <w:rPr>
          <w:rFonts w:ascii="Sylfaen" w:eastAsia="Sylfaen" w:hAnsi="Sylfaen" w:cs="Sylfaen"/>
        </w:rPr>
        <w:t>ჩართული</w:t>
      </w:r>
      <w:proofErr w:type="spellEnd"/>
      <w:r w:rsidRPr="003B2770">
        <w:rPr>
          <w:rFonts w:ascii="Sylfaen" w:eastAsia="Sylfaen" w:hAnsi="Sylfaen" w:cs="Sylfaen"/>
        </w:rPr>
        <w:t xml:space="preserve"> </w:t>
      </w:r>
      <w:proofErr w:type="spellStart"/>
      <w:r w:rsidRPr="003B2770">
        <w:rPr>
          <w:rFonts w:ascii="Sylfaen" w:eastAsia="Sylfaen" w:hAnsi="Sylfaen" w:cs="Sylfaen"/>
        </w:rPr>
        <w:t>პერსონალის</w:t>
      </w:r>
      <w:proofErr w:type="spellEnd"/>
      <w:r w:rsidRPr="003B2770">
        <w:rPr>
          <w:rFonts w:ascii="Sylfaen" w:eastAsia="Sylfaen" w:hAnsi="Sylfaen" w:cs="Sylfaen"/>
        </w:rPr>
        <w:t xml:space="preserve"> </w:t>
      </w:r>
      <w:proofErr w:type="spellStart"/>
      <w:r w:rsidRPr="003B2770">
        <w:rPr>
          <w:rFonts w:ascii="Sylfaen" w:eastAsia="Sylfaen" w:hAnsi="Sylfaen" w:cs="Sylfaen"/>
        </w:rPr>
        <w:t>ჩამონათვალი</w:t>
      </w:r>
      <w:proofErr w:type="spellEnd"/>
      <w:r w:rsidRPr="003B2770">
        <w:rPr>
          <w:rFonts w:ascii="Sylfaen" w:eastAsia="Sylfaen" w:hAnsi="Sylfaen" w:cs="Sylfaen"/>
        </w:rPr>
        <w:t xml:space="preserve"> და </w:t>
      </w:r>
      <w:proofErr w:type="spellStart"/>
      <w:r w:rsidRPr="003B2770">
        <w:rPr>
          <w:rFonts w:ascii="Sylfaen" w:eastAsia="Sylfaen" w:hAnsi="Sylfaen" w:cs="Sylfaen"/>
        </w:rPr>
        <w:t>ფუნქციები</w:t>
      </w:r>
      <w:proofErr w:type="spellEnd"/>
    </w:p>
    <w:p w14:paraId="46B9173C" w14:textId="77777777" w:rsidR="003B2770" w:rsidRPr="00CB75C9" w:rsidRDefault="003B2770" w:rsidP="003B2770">
      <w:pPr>
        <w:tabs>
          <w:tab w:val="left" w:pos="3046"/>
          <w:tab w:val="left" w:pos="4592"/>
          <w:tab w:val="left" w:pos="9630"/>
          <w:tab w:val="left" w:pos="10632"/>
        </w:tabs>
        <w:ind w:right="637"/>
        <w:jc w:val="both"/>
        <w:rPr>
          <w:rFonts w:ascii="Sylfaen" w:eastAsia="Sylfaen" w:hAnsi="Sylfaen" w:cs="Sylfaen"/>
          <w:b/>
          <w:lang w:val="ka-GE"/>
        </w:rPr>
      </w:pPr>
    </w:p>
    <w:p w14:paraId="0CFCB3AB" w14:textId="77777777" w:rsidR="003B2770" w:rsidRDefault="003B2770" w:rsidP="003B2770">
      <w:pPr>
        <w:widowControl w:val="0"/>
        <w:tabs>
          <w:tab w:val="left" w:pos="3046"/>
          <w:tab w:val="left" w:pos="4592"/>
          <w:tab w:val="left" w:pos="9630"/>
          <w:tab w:val="left" w:pos="10632"/>
        </w:tabs>
        <w:ind w:right="637"/>
        <w:jc w:val="both"/>
        <w:rPr>
          <w:rFonts w:ascii="Sylfaen" w:eastAsia="Sylfaen" w:hAnsi="Sylfaen" w:cs="Sylfaen"/>
        </w:rPr>
      </w:pPr>
    </w:p>
    <w:p w14:paraId="558565AF" w14:textId="77777777" w:rsidR="003B2770" w:rsidRPr="003B2770" w:rsidRDefault="003B2770" w:rsidP="003B2770">
      <w:pPr>
        <w:widowControl w:val="0"/>
        <w:tabs>
          <w:tab w:val="left" w:pos="3046"/>
          <w:tab w:val="left" w:pos="4592"/>
          <w:tab w:val="left" w:pos="9630"/>
          <w:tab w:val="left" w:pos="10632"/>
        </w:tabs>
        <w:ind w:right="637"/>
        <w:jc w:val="both"/>
        <w:rPr>
          <w:rFonts w:ascii="Sylfaen" w:eastAsia="Sylfaen" w:hAnsi="Sylfaen" w:cs="Sylfaen"/>
        </w:rPr>
      </w:pPr>
    </w:p>
    <w:p w14:paraId="1319E3E9" w14:textId="052F3E46" w:rsidR="008E471E" w:rsidRDefault="008E471E" w:rsidP="008E471E">
      <w:pPr>
        <w:pStyle w:val="Default"/>
        <w:jc w:val="both"/>
        <w:rPr>
          <w:rFonts w:asciiTheme="minorHAnsi" w:hAnsiTheme="minorHAnsi" w:cstheme="minorHAnsi"/>
          <w:color w:val="000000" w:themeColor="text1"/>
          <w:sz w:val="22"/>
          <w:szCs w:val="22"/>
          <w:lang w:val="ka-GE"/>
        </w:rPr>
      </w:pPr>
      <w:r>
        <w:rPr>
          <w:rFonts w:asciiTheme="minorHAnsi" w:hAnsiTheme="minorHAnsi" w:cstheme="minorHAnsi"/>
          <w:color w:val="000000" w:themeColor="text1"/>
          <w:sz w:val="22"/>
          <w:szCs w:val="22"/>
          <w:lang w:val="ka-GE"/>
        </w:rPr>
        <w:br w:type="page"/>
      </w:r>
    </w:p>
    <w:p w14:paraId="3CDF7A1B" w14:textId="77777777" w:rsidR="00C65EFD" w:rsidRDefault="00C65EFD" w:rsidP="00DA08E7">
      <w:pPr>
        <w:widowControl w:val="0"/>
        <w:tabs>
          <w:tab w:val="left" w:pos="10632"/>
        </w:tabs>
        <w:autoSpaceDE w:val="0"/>
        <w:autoSpaceDN w:val="0"/>
        <w:adjustRightInd w:val="0"/>
        <w:spacing w:after="200" w:line="276" w:lineRule="auto"/>
        <w:ind w:right="78"/>
        <w:jc w:val="both"/>
        <w:rPr>
          <w:rFonts w:cstheme="minorHAnsi"/>
          <w:b/>
          <w:spacing w:val="-1"/>
          <w:position w:val="1"/>
          <w:szCs w:val="20"/>
          <w:lang w:val="ka-GE"/>
        </w:rPr>
        <w:sectPr w:rsidR="00C65EFD" w:rsidSect="00A04126">
          <w:pgSz w:w="12240" w:h="15840"/>
          <w:pgMar w:top="1440" w:right="1080" w:bottom="1080" w:left="1080" w:header="720" w:footer="720" w:gutter="0"/>
          <w:cols w:space="720"/>
          <w:docGrid w:linePitch="360"/>
        </w:sectPr>
      </w:pPr>
    </w:p>
    <w:p w14:paraId="6DB77344" w14:textId="63A49B1C" w:rsidR="00DA08E7" w:rsidRPr="008E471E" w:rsidRDefault="00DA08E7" w:rsidP="00DA08E7">
      <w:pPr>
        <w:widowControl w:val="0"/>
        <w:tabs>
          <w:tab w:val="left" w:pos="10632"/>
        </w:tabs>
        <w:autoSpaceDE w:val="0"/>
        <w:autoSpaceDN w:val="0"/>
        <w:adjustRightInd w:val="0"/>
        <w:spacing w:after="200" w:line="276" w:lineRule="auto"/>
        <w:ind w:right="78"/>
        <w:jc w:val="both"/>
        <w:rPr>
          <w:rFonts w:cstheme="minorHAnsi"/>
          <w:b/>
          <w:spacing w:val="-1"/>
          <w:position w:val="1"/>
          <w:szCs w:val="20"/>
          <w:lang w:val="ka-GE"/>
        </w:rPr>
      </w:pPr>
      <w:r w:rsidRPr="008E471E">
        <w:rPr>
          <w:rFonts w:cstheme="minorHAnsi"/>
          <w:b/>
          <w:spacing w:val="-1"/>
          <w:position w:val="1"/>
          <w:szCs w:val="20"/>
          <w:lang w:val="ka-GE"/>
        </w:rPr>
        <w:lastRenderedPageBreak/>
        <w:t>დანართი 1. მომსახურების ფასი და  განხორციელების  საორიენტაციო ვადები</w:t>
      </w:r>
    </w:p>
    <w:tbl>
      <w:tblPr>
        <w:tblStyle w:val="TableGrid"/>
        <w:tblW w:w="13500" w:type="dxa"/>
        <w:tblInd w:w="-5" w:type="dxa"/>
        <w:tblLook w:val="04A0" w:firstRow="1" w:lastRow="0" w:firstColumn="1" w:lastColumn="0" w:noHBand="0" w:noVBand="1"/>
      </w:tblPr>
      <w:tblGrid>
        <w:gridCol w:w="810"/>
        <w:gridCol w:w="5580"/>
        <w:gridCol w:w="1620"/>
        <w:gridCol w:w="1800"/>
        <w:gridCol w:w="3690"/>
      </w:tblGrid>
      <w:tr w:rsidR="00781C41" w:rsidRPr="00B37316" w14:paraId="3E9E321C" w14:textId="77777777" w:rsidTr="00C65EFD">
        <w:tc>
          <w:tcPr>
            <w:tcW w:w="810" w:type="dxa"/>
          </w:tcPr>
          <w:p w14:paraId="31CDD79D" w14:textId="25D69B87" w:rsidR="00781C41" w:rsidRPr="00B37316" w:rsidRDefault="00781C41" w:rsidP="00DA08E7">
            <w:pPr>
              <w:pStyle w:val="Default"/>
              <w:jc w:val="both"/>
              <w:rPr>
                <w:rFonts w:asciiTheme="minorHAnsi" w:hAnsiTheme="minorHAnsi" w:cstheme="minorHAnsi"/>
                <w:b/>
                <w:color w:val="000000" w:themeColor="text1"/>
                <w:sz w:val="20"/>
                <w:szCs w:val="20"/>
                <w:lang w:val="ka-GE"/>
              </w:rPr>
            </w:pPr>
          </w:p>
        </w:tc>
        <w:tc>
          <w:tcPr>
            <w:tcW w:w="5580" w:type="dxa"/>
          </w:tcPr>
          <w:p w14:paraId="40D568B1" w14:textId="77777777" w:rsidR="00781C41" w:rsidRPr="00B37316" w:rsidRDefault="00781C41" w:rsidP="00DA08E7">
            <w:pPr>
              <w:pStyle w:val="Default"/>
              <w:jc w:val="both"/>
              <w:rPr>
                <w:rFonts w:asciiTheme="minorHAnsi" w:hAnsiTheme="minorHAnsi" w:cstheme="minorHAnsi"/>
                <w:b/>
                <w:color w:val="000000" w:themeColor="text1"/>
                <w:sz w:val="20"/>
                <w:szCs w:val="20"/>
                <w:lang w:val="ka-GE"/>
              </w:rPr>
            </w:pPr>
            <w:r w:rsidRPr="00B37316">
              <w:rPr>
                <w:rFonts w:asciiTheme="minorHAnsi" w:hAnsiTheme="minorHAnsi" w:cstheme="minorHAnsi"/>
                <w:b/>
                <w:color w:val="000000" w:themeColor="text1"/>
                <w:sz w:val="20"/>
                <w:szCs w:val="20"/>
                <w:lang w:val="ka-GE"/>
              </w:rPr>
              <w:t>აქტივობა</w:t>
            </w:r>
          </w:p>
        </w:tc>
        <w:tc>
          <w:tcPr>
            <w:tcW w:w="1620" w:type="dxa"/>
          </w:tcPr>
          <w:p w14:paraId="561E3327" w14:textId="77777777" w:rsidR="00781C41" w:rsidRPr="00B37316" w:rsidRDefault="00781C41" w:rsidP="00DA08E7">
            <w:pPr>
              <w:pStyle w:val="Default"/>
              <w:jc w:val="both"/>
              <w:rPr>
                <w:rFonts w:asciiTheme="minorHAnsi" w:hAnsiTheme="minorHAnsi" w:cstheme="minorHAnsi"/>
                <w:b/>
                <w:color w:val="000000" w:themeColor="text1"/>
                <w:sz w:val="20"/>
                <w:szCs w:val="20"/>
                <w:lang w:val="ka-GE"/>
              </w:rPr>
            </w:pPr>
            <w:r w:rsidRPr="00B37316">
              <w:rPr>
                <w:rFonts w:asciiTheme="minorHAnsi" w:hAnsiTheme="minorHAnsi" w:cstheme="minorHAnsi"/>
                <w:b/>
                <w:color w:val="000000" w:themeColor="text1"/>
                <w:sz w:val="20"/>
                <w:szCs w:val="20"/>
                <w:lang w:val="ka-GE"/>
              </w:rPr>
              <w:t>ღირებულება</w:t>
            </w:r>
          </w:p>
        </w:tc>
        <w:tc>
          <w:tcPr>
            <w:tcW w:w="1800" w:type="dxa"/>
          </w:tcPr>
          <w:p w14:paraId="5F9D4BBD" w14:textId="77777777" w:rsidR="00781C41" w:rsidRPr="00B37316" w:rsidRDefault="00781C41" w:rsidP="00DA08E7">
            <w:pPr>
              <w:pStyle w:val="Default"/>
              <w:jc w:val="both"/>
              <w:rPr>
                <w:rFonts w:asciiTheme="minorHAnsi" w:hAnsiTheme="minorHAnsi" w:cstheme="minorHAnsi"/>
                <w:b/>
                <w:color w:val="000000" w:themeColor="text1"/>
                <w:sz w:val="20"/>
                <w:szCs w:val="20"/>
                <w:lang w:val="ka-GE"/>
              </w:rPr>
            </w:pPr>
            <w:r w:rsidRPr="00B37316">
              <w:rPr>
                <w:rFonts w:asciiTheme="minorHAnsi" w:hAnsiTheme="minorHAnsi" w:cstheme="minorHAnsi"/>
                <w:b/>
                <w:color w:val="000000" w:themeColor="text1"/>
                <w:sz w:val="20"/>
                <w:szCs w:val="20"/>
                <w:lang w:val="ka-GE"/>
              </w:rPr>
              <w:t>საორიენტაციო ვადები</w:t>
            </w:r>
          </w:p>
        </w:tc>
        <w:tc>
          <w:tcPr>
            <w:tcW w:w="3690" w:type="dxa"/>
          </w:tcPr>
          <w:p w14:paraId="306F7311" w14:textId="77777777" w:rsidR="00781C41" w:rsidRPr="00B37316" w:rsidRDefault="00781C41" w:rsidP="00DA08E7">
            <w:pPr>
              <w:pStyle w:val="Default"/>
              <w:jc w:val="both"/>
              <w:rPr>
                <w:rFonts w:asciiTheme="minorHAnsi" w:hAnsiTheme="minorHAnsi" w:cstheme="minorHAnsi"/>
                <w:b/>
                <w:color w:val="000000" w:themeColor="text1"/>
                <w:sz w:val="20"/>
                <w:szCs w:val="20"/>
                <w:lang w:val="ka-GE"/>
              </w:rPr>
            </w:pPr>
            <w:r w:rsidRPr="00B37316">
              <w:rPr>
                <w:rFonts w:asciiTheme="minorHAnsi" w:hAnsiTheme="minorHAnsi" w:cstheme="minorHAnsi"/>
                <w:b/>
                <w:color w:val="000000" w:themeColor="text1"/>
                <w:sz w:val="20"/>
                <w:szCs w:val="20"/>
                <w:lang w:val="ka-GE"/>
              </w:rPr>
              <w:t>წარსადგენი დოკუმენტაცია</w:t>
            </w:r>
          </w:p>
        </w:tc>
      </w:tr>
      <w:tr w:rsidR="00781C41" w:rsidRPr="00B37316" w14:paraId="126FB824" w14:textId="77777777" w:rsidTr="00C65EFD">
        <w:tc>
          <w:tcPr>
            <w:tcW w:w="810" w:type="dxa"/>
          </w:tcPr>
          <w:p w14:paraId="55F53B54" w14:textId="73B112CB" w:rsidR="00781C41" w:rsidRPr="00B37316" w:rsidRDefault="00C65EFD" w:rsidP="00DA08E7">
            <w:pPr>
              <w:pStyle w:val="Default"/>
              <w:jc w:val="both"/>
              <w:rPr>
                <w:rFonts w:asciiTheme="minorHAnsi" w:hAnsiTheme="minorHAnsi" w:cstheme="minorHAnsi"/>
                <w:color w:val="000000" w:themeColor="text1"/>
                <w:sz w:val="20"/>
                <w:szCs w:val="20"/>
                <w:lang w:val="ka-GE"/>
              </w:rPr>
            </w:pPr>
            <w:r w:rsidRPr="00B37316">
              <w:rPr>
                <w:rFonts w:asciiTheme="minorHAnsi" w:hAnsiTheme="minorHAnsi" w:cstheme="minorHAnsi"/>
                <w:color w:val="000000" w:themeColor="text1"/>
                <w:sz w:val="20"/>
                <w:szCs w:val="20"/>
                <w:lang w:val="ka-GE"/>
              </w:rPr>
              <w:t>1.1</w:t>
            </w:r>
          </w:p>
        </w:tc>
        <w:tc>
          <w:tcPr>
            <w:tcW w:w="5580" w:type="dxa"/>
          </w:tcPr>
          <w:p w14:paraId="3BF1F995" w14:textId="3A914FD9" w:rsidR="00781C41" w:rsidRPr="00B37316" w:rsidRDefault="00C65EFD" w:rsidP="00DA08E7">
            <w:pPr>
              <w:pStyle w:val="Default"/>
              <w:jc w:val="both"/>
              <w:rPr>
                <w:rFonts w:cstheme="minorHAnsi"/>
                <w:sz w:val="20"/>
                <w:szCs w:val="20"/>
                <w:lang w:val="ka-GE"/>
              </w:rPr>
            </w:pPr>
            <w:r w:rsidRPr="00B37316">
              <w:rPr>
                <w:rFonts w:cstheme="minorHAnsi"/>
                <w:sz w:val="20"/>
                <w:szCs w:val="20"/>
                <w:lang w:val="ka-GE"/>
              </w:rPr>
              <w:t>აივ და ტუბერკულოზის მოწყვლად პოპულაციებში ადამიანის უფლებებთან და გენდერთან დაკავშირებული ბარიერების კვლევის პროტოკოლის და ინსტრუმენტების შემუშავება</w:t>
            </w:r>
          </w:p>
        </w:tc>
        <w:tc>
          <w:tcPr>
            <w:tcW w:w="1620" w:type="dxa"/>
          </w:tcPr>
          <w:p w14:paraId="4D008A77" w14:textId="77777777" w:rsidR="00781C41" w:rsidRPr="00B37316" w:rsidRDefault="00781C41" w:rsidP="00DA08E7">
            <w:pPr>
              <w:pStyle w:val="Default"/>
              <w:jc w:val="both"/>
              <w:rPr>
                <w:rFonts w:asciiTheme="minorHAnsi" w:hAnsiTheme="minorHAnsi" w:cstheme="minorHAnsi"/>
                <w:color w:val="000000" w:themeColor="text1"/>
                <w:sz w:val="20"/>
                <w:szCs w:val="20"/>
                <w:lang w:val="ka-GE"/>
              </w:rPr>
            </w:pPr>
          </w:p>
        </w:tc>
        <w:tc>
          <w:tcPr>
            <w:tcW w:w="1800" w:type="dxa"/>
          </w:tcPr>
          <w:p w14:paraId="28CCE00F" w14:textId="77777777" w:rsidR="00781C41" w:rsidRPr="00B37316" w:rsidRDefault="00781C41" w:rsidP="00DA08E7">
            <w:pPr>
              <w:pStyle w:val="Default"/>
              <w:jc w:val="both"/>
              <w:rPr>
                <w:rFonts w:asciiTheme="minorHAnsi" w:hAnsiTheme="minorHAnsi" w:cstheme="minorHAnsi"/>
                <w:color w:val="000000" w:themeColor="text1"/>
                <w:sz w:val="20"/>
                <w:szCs w:val="20"/>
                <w:lang w:val="ka-GE"/>
              </w:rPr>
            </w:pPr>
          </w:p>
        </w:tc>
        <w:tc>
          <w:tcPr>
            <w:tcW w:w="3690" w:type="dxa"/>
          </w:tcPr>
          <w:p w14:paraId="56BC5758" w14:textId="6136BD6E" w:rsidR="00781C41" w:rsidRPr="00B37316" w:rsidRDefault="00C65EFD" w:rsidP="00DA08E7">
            <w:pPr>
              <w:pStyle w:val="Default"/>
              <w:jc w:val="both"/>
              <w:rPr>
                <w:rFonts w:asciiTheme="minorHAnsi" w:hAnsiTheme="minorHAnsi" w:cstheme="minorHAnsi"/>
                <w:color w:val="000000" w:themeColor="text1"/>
                <w:sz w:val="20"/>
                <w:szCs w:val="20"/>
                <w:lang w:val="ka-GE"/>
              </w:rPr>
            </w:pPr>
            <w:r w:rsidRPr="00B37316">
              <w:rPr>
                <w:rFonts w:cstheme="minorHAnsi"/>
                <w:sz w:val="20"/>
                <w:szCs w:val="20"/>
                <w:lang w:val="ka-GE"/>
              </w:rPr>
              <w:t xml:space="preserve">კვლევის </w:t>
            </w:r>
            <w:r w:rsidR="00B37316" w:rsidRPr="00B37316">
              <w:rPr>
                <w:rFonts w:cstheme="minorHAnsi"/>
                <w:sz w:val="20"/>
                <w:szCs w:val="20"/>
                <w:lang w:val="ka-GE"/>
              </w:rPr>
              <w:t>პროტოკოლი</w:t>
            </w:r>
          </w:p>
        </w:tc>
      </w:tr>
      <w:tr w:rsidR="00781C41" w:rsidRPr="00B37316" w14:paraId="207A8B6F" w14:textId="77777777" w:rsidTr="00C65EFD">
        <w:tc>
          <w:tcPr>
            <w:tcW w:w="810" w:type="dxa"/>
          </w:tcPr>
          <w:p w14:paraId="0540D9A0" w14:textId="675B9D5A" w:rsidR="00781C41" w:rsidRPr="00B37316" w:rsidRDefault="00C65EFD" w:rsidP="00DA08E7">
            <w:pPr>
              <w:pStyle w:val="Default"/>
              <w:jc w:val="both"/>
              <w:rPr>
                <w:rFonts w:asciiTheme="minorHAnsi" w:hAnsiTheme="minorHAnsi" w:cstheme="minorHAnsi"/>
                <w:color w:val="000000" w:themeColor="text1"/>
                <w:sz w:val="20"/>
                <w:szCs w:val="20"/>
                <w:lang w:val="ka-GE"/>
              </w:rPr>
            </w:pPr>
            <w:r w:rsidRPr="00B37316">
              <w:rPr>
                <w:rFonts w:asciiTheme="minorHAnsi" w:hAnsiTheme="minorHAnsi" w:cstheme="minorHAnsi"/>
                <w:color w:val="000000" w:themeColor="text1"/>
                <w:sz w:val="20"/>
                <w:szCs w:val="20"/>
                <w:lang w:val="ka-GE"/>
              </w:rPr>
              <w:t>2.1</w:t>
            </w:r>
          </w:p>
        </w:tc>
        <w:tc>
          <w:tcPr>
            <w:tcW w:w="5580" w:type="dxa"/>
          </w:tcPr>
          <w:p w14:paraId="23E98A52" w14:textId="76819814" w:rsidR="00781C41" w:rsidRPr="00B37316" w:rsidRDefault="00C65EFD" w:rsidP="00C65EFD">
            <w:pPr>
              <w:pStyle w:val="Default"/>
              <w:jc w:val="both"/>
              <w:rPr>
                <w:rFonts w:cstheme="minorHAnsi"/>
                <w:sz w:val="20"/>
                <w:szCs w:val="20"/>
                <w:lang w:val="ka-GE"/>
              </w:rPr>
            </w:pPr>
            <w:r w:rsidRPr="00B37316">
              <w:rPr>
                <w:rFonts w:cstheme="minorHAnsi"/>
                <w:sz w:val="20"/>
                <w:szCs w:val="20"/>
                <w:lang w:val="ka-GE"/>
              </w:rPr>
              <w:t>აივ და ტუბერკულოზის მოწყვლად პოპულაციებში ადამიანის უფლებებთან და გენდერთან დაკავშირებული ბარიერების კვლევის განხორციელება</w:t>
            </w:r>
          </w:p>
        </w:tc>
        <w:tc>
          <w:tcPr>
            <w:tcW w:w="1620" w:type="dxa"/>
          </w:tcPr>
          <w:p w14:paraId="516C324C" w14:textId="77777777" w:rsidR="00781C41" w:rsidRPr="00B37316" w:rsidRDefault="00781C41" w:rsidP="00DA08E7">
            <w:pPr>
              <w:pStyle w:val="Default"/>
              <w:jc w:val="both"/>
              <w:rPr>
                <w:rFonts w:asciiTheme="minorHAnsi" w:hAnsiTheme="minorHAnsi" w:cstheme="minorHAnsi"/>
                <w:color w:val="000000" w:themeColor="text1"/>
                <w:sz w:val="20"/>
                <w:szCs w:val="20"/>
                <w:lang w:val="ka-GE"/>
              </w:rPr>
            </w:pPr>
          </w:p>
        </w:tc>
        <w:tc>
          <w:tcPr>
            <w:tcW w:w="1800" w:type="dxa"/>
          </w:tcPr>
          <w:p w14:paraId="3ED26487" w14:textId="77777777" w:rsidR="00781C41" w:rsidRPr="00B37316" w:rsidRDefault="00781C41" w:rsidP="00DA08E7">
            <w:pPr>
              <w:pStyle w:val="Default"/>
              <w:jc w:val="both"/>
              <w:rPr>
                <w:rFonts w:asciiTheme="minorHAnsi" w:hAnsiTheme="minorHAnsi" w:cstheme="minorHAnsi"/>
                <w:color w:val="000000" w:themeColor="text1"/>
                <w:sz w:val="20"/>
                <w:szCs w:val="20"/>
                <w:lang w:val="ka-GE"/>
              </w:rPr>
            </w:pPr>
          </w:p>
        </w:tc>
        <w:tc>
          <w:tcPr>
            <w:tcW w:w="3690" w:type="dxa"/>
          </w:tcPr>
          <w:p w14:paraId="28675D7F" w14:textId="6E72217E" w:rsidR="00781C41" w:rsidRPr="00B37316" w:rsidRDefault="00B37316" w:rsidP="00B37316">
            <w:pPr>
              <w:pStyle w:val="Default"/>
              <w:jc w:val="both"/>
              <w:rPr>
                <w:rFonts w:asciiTheme="minorHAnsi" w:hAnsiTheme="minorHAnsi" w:cstheme="minorHAnsi"/>
                <w:color w:val="000000" w:themeColor="text1"/>
                <w:sz w:val="20"/>
                <w:szCs w:val="20"/>
                <w:lang w:val="ka-GE"/>
              </w:rPr>
            </w:pPr>
            <w:r w:rsidRPr="00B37316">
              <w:rPr>
                <w:rFonts w:cstheme="minorHAnsi"/>
                <w:sz w:val="20"/>
                <w:szCs w:val="20"/>
                <w:lang w:val="ka-GE"/>
              </w:rPr>
              <w:t>შერჩევის მეთოდი და სტრატეგია, საველე სამუშაოების ანგარიში</w:t>
            </w:r>
          </w:p>
        </w:tc>
      </w:tr>
      <w:tr w:rsidR="00781C41" w:rsidRPr="00B37316" w14:paraId="13C14387" w14:textId="77777777" w:rsidTr="00C65EFD">
        <w:tc>
          <w:tcPr>
            <w:tcW w:w="810" w:type="dxa"/>
          </w:tcPr>
          <w:p w14:paraId="1843E0F1" w14:textId="4DB66B8E" w:rsidR="00781C41" w:rsidRPr="00B37316" w:rsidRDefault="00C65EFD" w:rsidP="00DA08E7">
            <w:pPr>
              <w:pStyle w:val="Default"/>
              <w:jc w:val="both"/>
              <w:rPr>
                <w:rFonts w:asciiTheme="minorHAnsi" w:hAnsiTheme="minorHAnsi" w:cstheme="minorHAnsi"/>
                <w:color w:val="000000" w:themeColor="text1"/>
                <w:sz w:val="20"/>
                <w:szCs w:val="20"/>
                <w:lang w:val="ka-GE"/>
              </w:rPr>
            </w:pPr>
            <w:r w:rsidRPr="00B37316">
              <w:rPr>
                <w:rFonts w:asciiTheme="minorHAnsi" w:hAnsiTheme="minorHAnsi" w:cstheme="minorHAnsi"/>
                <w:color w:val="000000" w:themeColor="text1"/>
                <w:sz w:val="20"/>
                <w:szCs w:val="20"/>
                <w:lang w:val="ka-GE"/>
              </w:rPr>
              <w:t>2.2</w:t>
            </w:r>
          </w:p>
        </w:tc>
        <w:tc>
          <w:tcPr>
            <w:tcW w:w="5580" w:type="dxa"/>
          </w:tcPr>
          <w:p w14:paraId="7F193931" w14:textId="5B1D7187" w:rsidR="00781C41" w:rsidRPr="00B37316" w:rsidRDefault="00C65EFD" w:rsidP="00DA08E7">
            <w:pPr>
              <w:pStyle w:val="Default"/>
              <w:jc w:val="both"/>
              <w:rPr>
                <w:rFonts w:cstheme="minorHAnsi"/>
                <w:sz w:val="20"/>
                <w:szCs w:val="20"/>
                <w:lang w:val="ka-GE"/>
              </w:rPr>
            </w:pPr>
            <w:r w:rsidRPr="00B37316">
              <w:rPr>
                <w:rFonts w:cstheme="minorHAnsi"/>
                <w:sz w:val="20"/>
                <w:szCs w:val="20"/>
                <w:lang w:val="ka-GE"/>
              </w:rPr>
              <w:t>აივ და ტუბერკულოზის მოწყვლად პოპულაციებში ადამიანის უფლებებთან და გენდერთან დაკავშირებული ბარიერების კვლევის მონაცემთა ანალიზი და ანგარიშის მომზადება</w:t>
            </w:r>
          </w:p>
        </w:tc>
        <w:tc>
          <w:tcPr>
            <w:tcW w:w="1620" w:type="dxa"/>
          </w:tcPr>
          <w:p w14:paraId="05B3FD1F" w14:textId="77777777" w:rsidR="00781C41" w:rsidRPr="00B37316" w:rsidRDefault="00781C41" w:rsidP="00DA08E7">
            <w:pPr>
              <w:pStyle w:val="Default"/>
              <w:jc w:val="both"/>
              <w:rPr>
                <w:rFonts w:asciiTheme="minorHAnsi" w:hAnsiTheme="minorHAnsi" w:cstheme="minorHAnsi"/>
                <w:color w:val="000000" w:themeColor="text1"/>
                <w:sz w:val="20"/>
                <w:szCs w:val="20"/>
                <w:lang w:val="ka-GE"/>
              </w:rPr>
            </w:pPr>
          </w:p>
        </w:tc>
        <w:tc>
          <w:tcPr>
            <w:tcW w:w="1800" w:type="dxa"/>
          </w:tcPr>
          <w:p w14:paraId="65024C86" w14:textId="77777777" w:rsidR="00781C41" w:rsidRPr="00B37316" w:rsidRDefault="00781C41" w:rsidP="00DA08E7">
            <w:pPr>
              <w:pStyle w:val="Default"/>
              <w:jc w:val="both"/>
              <w:rPr>
                <w:rFonts w:asciiTheme="minorHAnsi" w:hAnsiTheme="minorHAnsi" w:cstheme="minorHAnsi"/>
                <w:color w:val="000000" w:themeColor="text1"/>
                <w:sz w:val="20"/>
                <w:szCs w:val="20"/>
                <w:lang w:val="ka-GE"/>
              </w:rPr>
            </w:pPr>
          </w:p>
        </w:tc>
        <w:tc>
          <w:tcPr>
            <w:tcW w:w="3690" w:type="dxa"/>
          </w:tcPr>
          <w:p w14:paraId="243EAEB6" w14:textId="04D57125" w:rsidR="00781C41" w:rsidRPr="00B37316" w:rsidRDefault="00B37316" w:rsidP="00DA08E7">
            <w:pPr>
              <w:pStyle w:val="Default"/>
              <w:jc w:val="both"/>
              <w:rPr>
                <w:rFonts w:asciiTheme="minorHAnsi" w:hAnsiTheme="minorHAnsi" w:cstheme="minorHAnsi"/>
                <w:color w:val="000000" w:themeColor="text1"/>
                <w:sz w:val="20"/>
                <w:szCs w:val="20"/>
                <w:lang w:val="ka-GE"/>
              </w:rPr>
            </w:pPr>
            <w:r w:rsidRPr="00B37316">
              <w:rPr>
                <w:rFonts w:asciiTheme="minorHAnsi" w:hAnsiTheme="minorHAnsi" w:cstheme="minorHAnsi"/>
                <w:color w:val="000000" w:themeColor="text1"/>
                <w:sz w:val="20"/>
                <w:szCs w:val="20"/>
                <w:lang w:val="ka-GE"/>
              </w:rPr>
              <w:t>კვლევის ძირითადი მიგნებები</w:t>
            </w:r>
          </w:p>
        </w:tc>
      </w:tr>
      <w:tr w:rsidR="00781C41" w:rsidRPr="00B37316" w14:paraId="5135E71E" w14:textId="77777777" w:rsidTr="00C65EFD">
        <w:tc>
          <w:tcPr>
            <w:tcW w:w="810" w:type="dxa"/>
          </w:tcPr>
          <w:p w14:paraId="7848497D" w14:textId="3942AB67" w:rsidR="00781C41" w:rsidRPr="00B37316" w:rsidRDefault="00C65EFD" w:rsidP="00DA08E7">
            <w:pPr>
              <w:pStyle w:val="Default"/>
              <w:jc w:val="both"/>
              <w:rPr>
                <w:rFonts w:asciiTheme="minorHAnsi" w:hAnsiTheme="minorHAnsi" w:cstheme="minorHAnsi"/>
                <w:color w:val="000000" w:themeColor="text1"/>
                <w:sz w:val="20"/>
                <w:szCs w:val="20"/>
                <w:lang w:val="ka-GE"/>
              </w:rPr>
            </w:pPr>
            <w:r w:rsidRPr="00B37316">
              <w:rPr>
                <w:rFonts w:asciiTheme="minorHAnsi" w:hAnsiTheme="minorHAnsi" w:cstheme="minorHAnsi"/>
                <w:color w:val="000000" w:themeColor="text1"/>
                <w:sz w:val="20"/>
                <w:szCs w:val="20"/>
                <w:lang w:val="ka-GE"/>
              </w:rPr>
              <w:t>3.1</w:t>
            </w:r>
          </w:p>
        </w:tc>
        <w:tc>
          <w:tcPr>
            <w:tcW w:w="5580" w:type="dxa"/>
          </w:tcPr>
          <w:p w14:paraId="08382A23" w14:textId="6E35110B" w:rsidR="00781C41" w:rsidRPr="00B37316" w:rsidRDefault="00C65EFD" w:rsidP="00DA08E7">
            <w:pPr>
              <w:pStyle w:val="Default"/>
              <w:jc w:val="both"/>
              <w:rPr>
                <w:rFonts w:asciiTheme="minorHAnsi" w:hAnsiTheme="minorHAnsi" w:cstheme="minorHAnsi"/>
                <w:color w:val="000000" w:themeColor="text1"/>
                <w:sz w:val="20"/>
                <w:szCs w:val="20"/>
                <w:lang w:val="ka-GE"/>
              </w:rPr>
            </w:pPr>
            <w:r w:rsidRPr="00B37316">
              <w:rPr>
                <w:rFonts w:cstheme="minorHAnsi"/>
                <w:sz w:val="20"/>
                <w:szCs w:val="20"/>
                <w:lang w:val="ka-GE"/>
              </w:rPr>
              <w:t>აივ და ტუბერკულოზის მოწყვლად პოპულაციებში გამოვლენილი ბარიერების დასაძლევად რეკომენდაციების შემუშავება</w:t>
            </w:r>
          </w:p>
        </w:tc>
        <w:tc>
          <w:tcPr>
            <w:tcW w:w="1620" w:type="dxa"/>
          </w:tcPr>
          <w:p w14:paraId="6DB53F94" w14:textId="77777777" w:rsidR="00781C41" w:rsidRPr="00B37316" w:rsidRDefault="00781C41" w:rsidP="00DA08E7">
            <w:pPr>
              <w:pStyle w:val="Default"/>
              <w:jc w:val="both"/>
              <w:rPr>
                <w:rFonts w:asciiTheme="minorHAnsi" w:hAnsiTheme="minorHAnsi" w:cstheme="minorHAnsi"/>
                <w:color w:val="000000" w:themeColor="text1"/>
                <w:sz w:val="20"/>
                <w:szCs w:val="20"/>
                <w:lang w:val="ka-GE"/>
              </w:rPr>
            </w:pPr>
          </w:p>
        </w:tc>
        <w:tc>
          <w:tcPr>
            <w:tcW w:w="1800" w:type="dxa"/>
          </w:tcPr>
          <w:p w14:paraId="5D54F9D0" w14:textId="77777777" w:rsidR="00781C41" w:rsidRPr="00B37316" w:rsidRDefault="00781C41" w:rsidP="00DA08E7">
            <w:pPr>
              <w:pStyle w:val="Default"/>
              <w:jc w:val="both"/>
              <w:rPr>
                <w:rFonts w:asciiTheme="minorHAnsi" w:hAnsiTheme="minorHAnsi" w:cstheme="minorHAnsi"/>
                <w:color w:val="000000" w:themeColor="text1"/>
                <w:sz w:val="20"/>
                <w:szCs w:val="20"/>
                <w:lang w:val="ka-GE"/>
              </w:rPr>
            </w:pPr>
          </w:p>
        </w:tc>
        <w:tc>
          <w:tcPr>
            <w:tcW w:w="3690" w:type="dxa"/>
          </w:tcPr>
          <w:p w14:paraId="200093E1" w14:textId="54C2DC92" w:rsidR="00781C41" w:rsidRPr="00B37316" w:rsidRDefault="00B37316" w:rsidP="00DA08E7">
            <w:pPr>
              <w:pStyle w:val="Default"/>
              <w:jc w:val="both"/>
              <w:rPr>
                <w:rFonts w:asciiTheme="minorHAnsi" w:hAnsiTheme="minorHAnsi" w:cstheme="minorHAnsi"/>
                <w:color w:val="000000" w:themeColor="text1"/>
                <w:sz w:val="20"/>
                <w:szCs w:val="20"/>
                <w:lang w:val="ka-GE"/>
              </w:rPr>
            </w:pPr>
            <w:r w:rsidRPr="00B37316">
              <w:rPr>
                <w:rFonts w:asciiTheme="minorHAnsi" w:hAnsiTheme="minorHAnsi" w:cstheme="minorHAnsi"/>
                <w:color w:val="000000" w:themeColor="text1"/>
                <w:sz w:val="20"/>
                <w:szCs w:val="20"/>
                <w:lang w:val="ka-GE"/>
              </w:rPr>
              <w:t>საბოლოო ანგარიში რეკომენდაციების ჩათვლით</w:t>
            </w:r>
          </w:p>
        </w:tc>
      </w:tr>
      <w:tr w:rsidR="00EE5C1B" w:rsidRPr="00B37316" w14:paraId="761B6FFD" w14:textId="77777777" w:rsidTr="00C65EFD">
        <w:tc>
          <w:tcPr>
            <w:tcW w:w="810" w:type="dxa"/>
          </w:tcPr>
          <w:p w14:paraId="204F0F07" w14:textId="77777777" w:rsidR="00EE5C1B" w:rsidRPr="00B37316" w:rsidRDefault="00EE5C1B" w:rsidP="00DA08E7">
            <w:pPr>
              <w:pStyle w:val="Default"/>
              <w:jc w:val="both"/>
              <w:rPr>
                <w:rFonts w:asciiTheme="minorHAnsi" w:hAnsiTheme="minorHAnsi" w:cstheme="minorHAnsi"/>
                <w:color w:val="000000" w:themeColor="text1"/>
                <w:sz w:val="20"/>
                <w:szCs w:val="20"/>
                <w:lang w:val="ka-GE"/>
              </w:rPr>
            </w:pPr>
          </w:p>
        </w:tc>
        <w:tc>
          <w:tcPr>
            <w:tcW w:w="5580" w:type="dxa"/>
          </w:tcPr>
          <w:p w14:paraId="14004BD3" w14:textId="3C861A44" w:rsidR="00EE5C1B" w:rsidRPr="00EE5C1B" w:rsidRDefault="00EE5C1B" w:rsidP="00EE5C1B">
            <w:pPr>
              <w:pStyle w:val="Default"/>
              <w:jc w:val="both"/>
              <w:rPr>
                <w:rFonts w:cstheme="minorHAnsi"/>
                <w:sz w:val="20"/>
                <w:szCs w:val="20"/>
                <w:lang w:val="ru-RU"/>
              </w:rPr>
            </w:pPr>
            <w:r>
              <w:rPr>
                <w:rFonts w:cstheme="minorHAnsi"/>
                <w:sz w:val="20"/>
                <w:szCs w:val="20"/>
                <w:lang w:val="ru-RU"/>
              </w:rPr>
              <w:t>სულ ღირებულება დღგ-ს გარეშე:</w:t>
            </w:r>
          </w:p>
        </w:tc>
        <w:tc>
          <w:tcPr>
            <w:tcW w:w="1620" w:type="dxa"/>
          </w:tcPr>
          <w:p w14:paraId="6A698DAE" w14:textId="77777777" w:rsidR="00EE5C1B" w:rsidRPr="00B37316" w:rsidRDefault="00EE5C1B" w:rsidP="00DA08E7">
            <w:pPr>
              <w:pStyle w:val="Default"/>
              <w:jc w:val="both"/>
              <w:rPr>
                <w:rFonts w:asciiTheme="minorHAnsi" w:hAnsiTheme="minorHAnsi" w:cstheme="minorHAnsi"/>
                <w:color w:val="000000" w:themeColor="text1"/>
                <w:sz w:val="20"/>
                <w:szCs w:val="20"/>
                <w:lang w:val="ka-GE"/>
              </w:rPr>
            </w:pPr>
          </w:p>
        </w:tc>
        <w:tc>
          <w:tcPr>
            <w:tcW w:w="1800" w:type="dxa"/>
          </w:tcPr>
          <w:p w14:paraId="6E6D369B" w14:textId="77777777" w:rsidR="00EE5C1B" w:rsidRPr="00B37316" w:rsidRDefault="00EE5C1B" w:rsidP="00DA08E7">
            <w:pPr>
              <w:pStyle w:val="Default"/>
              <w:jc w:val="both"/>
              <w:rPr>
                <w:rFonts w:asciiTheme="minorHAnsi" w:hAnsiTheme="minorHAnsi" w:cstheme="minorHAnsi"/>
                <w:color w:val="000000" w:themeColor="text1"/>
                <w:sz w:val="20"/>
                <w:szCs w:val="20"/>
                <w:lang w:val="ka-GE"/>
              </w:rPr>
            </w:pPr>
          </w:p>
        </w:tc>
        <w:tc>
          <w:tcPr>
            <w:tcW w:w="3690" w:type="dxa"/>
          </w:tcPr>
          <w:p w14:paraId="6ED4D5D0" w14:textId="77777777" w:rsidR="00EE5C1B" w:rsidRPr="00B37316" w:rsidRDefault="00EE5C1B" w:rsidP="00DA08E7">
            <w:pPr>
              <w:pStyle w:val="Default"/>
              <w:jc w:val="both"/>
              <w:rPr>
                <w:rFonts w:asciiTheme="minorHAnsi" w:hAnsiTheme="minorHAnsi" w:cstheme="minorHAnsi"/>
                <w:color w:val="000000" w:themeColor="text1"/>
                <w:sz w:val="20"/>
                <w:szCs w:val="20"/>
                <w:lang w:val="ka-GE"/>
              </w:rPr>
            </w:pPr>
          </w:p>
        </w:tc>
      </w:tr>
    </w:tbl>
    <w:p w14:paraId="06A7E648" w14:textId="77777777" w:rsidR="00DA08E7" w:rsidRPr="00B814D0" w:rsidRDefault="00DA08E7" w:rsidP="00DA08E7">
      <w:pPr>
        <w:pStyle w:val="Default"/>
        <w:ind w:left="720"/>
        <w:jc w:val="both"/>
        <w:rPr>
          <w:rFonts w:asciiTheme="minorHAnsi" w:hAnsiTheme="minorHAnsi" w:cstheme="minorHAnsi"/>
          <w:color w:val="000000" w:themeColor="text1"/>
          <w:sz w:val="22"/>
          <w:szCs w:val="22"/>
          <w:lang w:val="ka-GE"/>
        </w:rPr>
      </w:pPr>
    </w:p>
    <w:p w14:paraId="41C6E1DB" w14:textId="77777777" w:rsidR="00C65EFD" w:rsidRDefault="00C65EFD" w:rsidP="00CE054E">
      <w:pPr>
        <w:jc w:val="both"/>
        <w:rPr>
          <w:rFonts w:cstheme="minorHAnsi"/>
          <w:lang w:val="ka-GE"/>
        </w:rPr>
      </w:pPr>
    </w:p>
    <w:p w14:paraId="0DE4504C" w14:textId="77777777" w:rsidR="003B2770" w:rsidRDefault="003B2770" w:rsidP="00CE054E">
      <w:pPr>
        <w:jc w:val="both"/>
        <w:rPr>
          <w:rFonts w:cstheme="minorHAnsi"/>
          <w:lang w:val="ka-GE"/>
        </w:rPr>
      </w:pPr>
    </w:p>
    <w:p w14:paraId="0AE9395F" w14:textId="4E10FD72" w:rsidR="003B2770" w:rsidRPr="005A5906" w:rsidRDefault="003B2770" w:rsidP="00CE054E">
      <w:pPr>
        <w:jc w:val="both"/>
        <w:rPr>
          <w:rFonts w:ascii="Sylfaen" w:hAnsi="Sylfaen" w:cstheme="minorHAnsi"/>
          <w:b/>
          <w:sz w:val="20"/>
          <w:szCs w:val="20"/>
          <w:u w:val="single"/>
          <w:lang w:val="ru-RU"/>
        </w:rPr>
      </w:pPr>
      <w:r w:rsidRPr="005A5906">
        <w:rPr>
          <w:rFonts w:ascii="Sylfaen" w:hAnsi="Sylfaen" w:cstheme="minorHAnsi"/>
          <w:b/>
          <w:sz w:val="20"/>
          <w:szCs w:val="20"/>
          <w:u w:val="single"/>
          <w:lang w:val="ru-RU"/>
        </w:rPr>
        <w:t xml:space="preserve">შენიშვნა: </w:t>
      </w:r>
    </w:p>
    <w:p w14:paraId="489EB542" w14:textId="6BC2955F" w:rsidR="005A5906" w:rsidRPr="005A5906" w:rsidRDefault="005A5906" w:rsidP="005A5906">
      <w:pPr>
        <w:pStyle w:val="ListParagraph"/>
        <w:numPr>
          <w:ilvl w:val="0"/>
          <w:numId w:val="8"/>
        </w:numPr>
        <w:jc w:val="both"/>
        <w:rPr>
          <w:rFonts w:ascii="Sylfaen" w:hAnsi="Sylfaen" w:cstheme="minorHAnsi"/>
          <w:b/>
          <w:sz w:val="20"/>
          <w:szCs w:val="20"/>
          <w:lang w:val="ru-RU"/>
        </w:rPr>
      </w:pPr>
      <w:r w:rsidRPr="005A5906">
        <w:rPr>
          <w:rFonts w:ascii="Sylfaen" w:eastAsia="Sylfaen" w:hAnsi="Sylfaen" w:cs="Sylfaen"/>
          <w:b/>
          <w:i/>
          <w:iCs/>
          <w:sz w:val="20"/>
          <w:szCs w:val="20"/>
        </w:rPr>
        <w:t>წარმოდგენილი ღირებულება უნდა მოიცავდეს მომსახურებასთან დაკავშირებულ ყველა ხარჯსა და კანონმდებლობით გათვალისწინებულ გადასახადებს, გარდა დამატებული ღირებულების გადასახადისა. ხარჯები, რომლებიც სატენდერო წინადადების ფასში არ იქნება გათვალისწინებული, არ დაექვემდებარება ანაზღაურებას.</w:t>
      </w:r>
      <w:r>
        <w:rPr>
          <w:rFonts w:ascii="Sylfaen" w:eastAsia="Sylfaen" w:hAnsi="Sylfaen" w:cs="Sylfaen"/>
          <w:b/>
          <w:i/>
          <w:iCs/>
          <w:sz w:val="20"/>
          <w:szCs w:val="20"/>
          <w:lang w:val="ru-RU"/>
        </w:rPr>
        <w:t>;</w:t>
      </w:r>
    </w:p>
    <w:p w14:paraId="250E1024" w14:textId="77777777" w:rsidR="005A5906" w:rsidRPr="005A5906" w:rsidRDefault="005A5906" w:rsidP="005A5906">
      <w:pPr>
        <w:pStyle w:val="ListParagraph"/>
        <w:numPr>
          <w:ilvl w:val="0"/>
          <w:numId w:val="8"/>
        </w:numPr>
        <w:autoSpaceDE w:val="0"/>
        <w:autoSpaceDN w:val="0"/>
        <w:adjustRightInd w:val="0"/>
        <w:spacing w:after="0" w:line="240" w:lineRule="auto"/>
        <w:rPr>
          <w:rFonts w:ascii="Sylfaen" w:eastAsia="Sylfaen" w:hAnsi="Sylfaen" w:cs="Sylfaen"/>
          <w:b/>
          <w:i/>
          <w:iCs/>
          <w:sz w:val="20"/>
          <w:szCs w:val="20"/>
        </w:rPr>
      </w:pPr>
      <w:r w:rsidRPr="005A5906">
        <w:rPr>
          <w:rFonts w:ascii="Sylfaen" w:eastAsia="Sylfaen" w:hAnsi="Sylfaen" w:cs="Sylfaen"/>
          <w:b/>
          <w:i/>
          <w:iCs/>
          <w:sz w:val="20"/>
          <w:szCs w:val="20"/>
        </w:rPr>
        <w:t xml:space="preserve">განფასება უნდა განხორციელდეს აქტივობების მიხედვით; </w:t>
      </w:r>
    </w:p>
    <w:p w14:paraId="45013807" w14:textId="77777777" w:rsidR="005A5906" w:rsidRPr="005A5906" w:rsidRDefault="005A5906" w:rsidP="005A5906">
      <w:pPr>
        <w:pStyle w:val="ListParagraph"/>
        <w:widowControl w:val="0"/>
        <w:numPr>
          <w:ilvl w:val="0"/>
          <w:numId w:val="8"/>
        </w:numPr>
        <w:jc w:val="both"/>
        <w:rPr>
          <w:rFonts w:ascii="Sylfaen" w:hAnsi="Sylfaen" w:cs="Sylfaen"/>
          <w:b/>
          <w:i/>
          <w:sz w:val="20"/>
          <w:szCs w:val="20"/>
        </w:rPr>
      </w:pPr>
      <w:r w:rsidRPr="005A5906">
        <w:rPr>
          <w:rFonts w:ascii="Sylfaen" w:eastAsia="Sylfaen" w:hAnsi="Sylfaen" w:cs="Sylfaen"/>
          <w:b/>
          <w:i/>
          <w:sz w:val="20"/>
          <w:szCs w:val="20"/>
        </w:rPr>
        <w:t>ანაზღაურება მოხდება ფაქტიურად შესრულებული სამუშაოს მიხედვით.</w:t>
      </w:r>
    </w:p>
    <w:p w14:paraId="725637FF" w14:textId="77777777" w:rsidR="005A5906" w:rsidRPr="005A5906" w:rsidRDefault="005A5906" w:rsidP="005A5906">
      <w:pPr>
        <w:pStyle w:val="ListParagraph"/>
        <w:jc w:val="both"/>
        <w:rPr>
          <w:rFonts w:cstheme="minorHAnsi"/>
          <w:lang w:val="ru-RU"/>
        </w:rPr>
      </w:pPr>
    </w:p>
    <w:p w14:paraId="6915D5E0" w14:textId="31D59858" w:rsidR="005A5906" w:rsidRPr="005A5906" w:rsidRDefault="005A5906" w:rsidP="005A5906">
      <w:pPr>
        <w:pStyle w:val="ListParagraph"/>
        <w:numPr>
          <w:ilvl w:val="0"/>
          <w:numId w:val="8"/>
        </w:numPr>
        <w:jc w:val="both"/>
        <w:rPr>
          <w:rFonts w:cstheme="minorHAnsi"/>
          <w:lang w:val="ru-RU"/>
        </w:rPr>
        <w:sectPr w:rsidR="005A5906" w:rsidRPr="005A5906" w:rsidSect="00EE5C1B">
          <w:pgSz w:w="15840" w:h="12240" w:orient="landscape"/>
          <w:pgMar w:top="1440" w:right="1440" w:bottom="1440" w:left="1080" w:header="720" w:footer="720" w:gutter="0"/>
          <w:cols w:space="720"/>
          <w:docGrid w:linePitch="360"/>
        </w:sectPr>
      </w:pPr>
    </w:p>
    <w:p w14:paraId="7239FE11" w14:textId="645C3E17" w:rsidR="00DA08E7" w:rsidRPr="00595EBC" w:rsidRDefault="00DA08E7" w:rsidP="00CE054E">
      <w:pPr>
        <w:jc w:val="both"/>
        <w:rPr>
          <w:rFonts w:cstheme="minorHAnsi"/>
          <w:lang w:val="ka-GE"/>
        </w:rPr>
      </w:pPr>
    </w:p>
    <w:sectPr w:rsidR="00DA08E7" w:rsidRPr="00595EBC" w:rsidSect="00EE5C1B">
      <w:pgSz w:w="12240" w:h="15840"/>
      <w:pgMar w:top="1440" w:right="144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D6D09"/>
    <w:multiLevelType w:val="hybridMultilevel"/>
    <w:tmpl w:val="22383BBC"/>
    <w:lvl w:ilvl="0" w:tplc="FFFFFFFF">
      <w:start w:val="1"/>
      <w:numFmt w:val="decimal"/>
      <w:lvlText w:val="%1."/>
      <w:lvlJc w:val="left"/>
      <w:pPr>
        <w:ind w:left="-180" w:hanging="360"/>
      </w:pPr>
      <w:rPr>
        <w:i/>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 w15:restartNumberingAfterBreak="0">
    <w:nsid w:val="1A420281"/>
    <w:multiLevelType w:val="hybridMultilevel"/>
    <w:tmpl w:val="3F4CC01E"/>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 w15:restartNumberingAfterBreak="0">
    <w:nsid w:val="238A136B"/>
    <w:multiLevelType w:val="hybridMultilevel"/>
    <w:tmpl w:val="487E6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F8229A"/>
    <w:multiLevelType w:val="hybridMultilevel"/>
    <w:tmpl w:val="90404C08"/>
    <w:lvl w:ilvl="0" w:tplc="A3F478C2">
      <w:start w:val="1"/>
      <w:numFmt w:val="decimal"/>
      <w:lvlText w:val="%1."/>
      <w:lvlJc w:val="left"/>
      <w:pPr>
        <w:ind w:left="720" w:hanging="360"/>
      </w:pPr>
      <w:rPr>
        <w:rFonts w:ascii="Sylfaen" w:eastAsia="Sylfaen" w:hAnsi="Sylfaen" w:cs="Sylfaen" w:hint="default"/>
        <w:i/>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852AAE"/>
    <w:multiLevelType w:val="hybridMultilevel"/>
    <w:tmpl w:val="11DA3B46"/>
    <w:lvl w:ilvl="0" w:tplc="A3F478C2">
      <w:start w:val="1"/>
      <w:numFmt w:val="decimal"/>
      <w:lvlText w:val="%1."/>
      <w:lvlJc w:val="left"/>
      <w:pPr>
        <w:ind w:left="720" w:hanging="360"/>
      </w:pPr>
      <w:rPr>
        <w:rFonts w:ascii="Sylfaen" w:eastAsia="Sylfaen" w:hAnsi="Sylfaen" w:cs="Sylfaen" w:hint="default"/>
        <w:i/>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221368"/>
    <w:multiLevelType w:val="hybridMultilevel"/>
    <w:tmpl w:val="78A03884"/>
    <w:lvl w:ilvl="0" w:tplc="3578B30C">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6" w15:restartNumberingAfterBreak="0">
    <w:nsid w:val="5FB74649"/>
    <w:multiLevelType w:val="hybridMultilevel"/>
    <w:tmpl w:val="202A5E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E9C1BD8"/>
    <w:multiLevelType w:val="hybridMultilevel"/>
    <w:tmpl w:val="A282C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286817"/>
    <w:multiLevelType w:val="hybridMultilevel"/>
    <w:tmpl w:val="2ACAD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DF7EC7"/>
    <w:multiLevelType w:val="hybridMultilevel"/>
    <w:tmpl w:val="E6D407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F0A0151"/>
    <w:multiLevelType w:val="hybridMultilevel"/>
    <w:tmpl w:val="3D16CEEA"/>
    <w:lvl w:ilvl="0" w:tplc="157698D6">
      <w:start w:val="3"/>
      <w:numFmt w:val="bullet"/>
      <w:lvlText w:val="-"/>
      <w:lvlJc w:val="left"/>
      <w:pPr>
        <w:ind w:left="1440" w:hanging="360"/>
      </w:pPr>
      <w:rPr>
        <w:rFonts w:ascii="Sylfaen" w:eastAsiaTheme="minorHAnsi" w:hAnsi="Sylfaen" w:cs="Sylfae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8"/>
  </w:num>
  <w:num w:numId="3">
    <w:abstractNumId w:val="10"/>
  </w:num>
  <w:num w:numId="4">
    <w:abstractNumId w:val="1"/>
  </w:num>
  <w:num w:numId="5">
    <w:abstractNumId w:val="6"/>
  </w:num>
  <w:num w:numId="6">
    <w:abstractNumId w:val="5"/>
  </w:num>
  <w:num w:numId="7">
    <w:abstractNumId w:val="9"/>
  </w:num>
  <w:num w:numId="8">
    <w:abstractNumId w:val="3"/>
  </w:num>
  <w:num w:numId="9">
    <w:abstractNumId w:val="7"/>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363"/>
    <w:rsid w:val="000617A9"/>
    <w:rsid w:val="000B6E62"/>
    <w:rsid w:val="000C250C"/>
    <w:rsid w:val="000D4312"/>
    <w:rsid w:val="000F0F1E"/>
    <w:rsid w:val="001955BD"/>
    <w:rsid w:val="00197AB2"/>
    <w:rsid w:val="001E2FAE"/>
    <w:rsid w:val="00283B9F"/>
    <w:rsid w:val="0034051E"/>
    <w:rsid w:val="00371363"/>
    <w:rsid w:val="003B2770"/>
    <w:rsid w:val="004B30C2"/>
    <w:rsid w:val="004C796A"/>
    <w:rsid w:val="004D6E33"/>
    <w:rsid w:val="00517D30"/>
    <w:rsid w:val="00553AC1"/>
    <w:rsid w:val="00577889"/>
    <w:rsid w:val="00595EBC"/>
    <w:rsid w:val="00596565"/>
    <w:rsid w:val="005A5906"/>
    <w:rsid w:val="00734175"/>
    <w:rsid w:val="00781C41"/>
    <w:rsid w:val="007C4235"/>
    <w:rsid w:val="007E2115"/>
    <w:rsid w:val="00827681"/>
    <w:rsid w:val="00830814"/>
    <w:rsid w:val="008E471E"/>
    <w:rsid w:val="009368D6"/>
    <w:rsid w:val="009B7590"/>
    <w:rsid w:val="00A028C2"/>
    <w:rsid w:val="00A04126"/>
    <w:rsid w:val="00A26652"/>
    <w:rsid w:val="00A50D3B"/>
    <w:rsid w:val="00AE58FF"/>
    <w:rsid w:val="00AF5828"/>
    <w:rsid w:val="00B279A8"/>
    <w:rsid w:val="00B37316"/>
    <w:rsid w:val="00B677AF"/>
    <w:rsid w:val="00BD6B6E"/>
    <w:rsid w:val="00C3666A"/>
    <w:rsid w:val="00C51311"/>
    <w:rsid w:val="00C5509B"/>
    <w:rsid w:val="00C65EFD"/>
    <w:rsid w:val="00CD1125"/>
    <w:rsid w:val="00CE054E"/>
    <w:rsid w:val="00D65438"/>
    <w:rsid w:val="00DA08E7"/>
    <w:rsid w:val="00DE5944"/>
    <w:rsid w:val="00EA20DF"/>
    <w:rsid w:val="00EB5506"/>
    <w:rsid w:val="00EC610A"/>
    <w:rsid w:val="00EE5C1B"/>
    <w:rsid w:val="00F86303"/>
    <w:rsid w:val="00F95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31B3E"/>
  <w15:chartTrackingRefBased/>
  <w15:docId w15:val="{53FDB1A5-294F-48B3-AA3A-50C1565ED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A20DF"/>
    <w:rPr>
      <w:sz w:val="16"/>
      <w:szCs w:val="16"/>
    </w:rPr>
  </w:style>
  <w:style w:type="paragraph" w:styleId="CommentText">
    <w:name w:val="annotation text"/>
    <w:basedOn w:val="Normal"/>
    <w:link w:val="CommentTextChar"/>
    <w:uiPriority w:val="99"/>
    <w:semiHidden/>
    <w:unhideWhenUsed/>
    <w:rsid w:val="00EA20DF"/>
    <w:pPr>
      <w:spacing w:line="240" w:lineRule="auto"/>
    </w:pPr>
    <w:rPr>
      <w:sz w:val="20"/>
      <w:szCs w:val="20"/>
    </w:rPr>
  </w:style>
  <w:style w:type="character" w:customStyle="1" w:styleId="CommentTextChar">
    <w:name w:val="Comment Text Char"/>
    <w:basedOn w:val="DefaultParagraphFont"/>
    <w:link w:val="CommentText"/>
    <w:uiPriority w:val="99"/>
    <w:semiHidden/>
    <w:rsid w:val="00EA20DF"/>
    <w:rPr>
      <w:sz w:val="20"/>
      <w:szCs w:val="20"/>
    </w:rPr>
  </w:style>
  <w:style w:type="paragraph" w:styleId="CommentSubject">
    <w:name w:val="annotation subject"/>
    <w:basedOn w:val="CommentText"/>
    <w:next w:val="CommentText"/>
    <w:link w:val="CommentSubjectChar"/>
    <w:uiPriority w:val="99"/>
    <w:semiHidden/>
    <w:unhideWhenUsed/>
    <w:rsid w:val="00EA20DF"/>
    <w:rPr>
      <w:b/>
      <w:bCs/>
    </w:rPr>
  </w:style>
  <w:style w:type="character" w:customStyle="1" w:styleId="CommentSubjectChar">
    <w:name w:val="Comment Subject Char"/>
    <w:basedOn w:val="CommentTextChar"/>
    <w:link w:val="CommentSubject"/>
    <w:uiPriority w:val="99"/>
    <w:semiHidden/>
    <w:rsid w:val="00EA20DF"/>
    <w:rPr>
      <w:b/>
      <w:bCs/>
      <w:sz w:val="20"/>
      <w:szCs w:val="20"/>
    </w:rPr>
  </w:style>
  <w:style w:type="paragraph" w:styleId="BalloonText">
    <w:name w:val="Balloon Text"/>
    <w:basedOn w:val="Normal"/>
    <w:link w:val="BalloonTextChar"/>
    <w:uiPriority w:val="99"/>
    <w:semiHidden/>
    <w:unhideWhenUsed/>
    <w:rsid w:val="00EA20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20DF"/>
    <w:rPr>
      <w:rFonts w:ascii="Segoe UI" w:hAnsi="Segoe UI" w:cs="Segoe UI"/>
      <w:sz w:val="18"/>
      <w:szCs w:val="18"/>
    </w:rPr>
  </w:style>
  <w:style w:type="paragraph" w:styleId="ListParagraph">
    <w:name w:val="List Paragraph"/>
    <w:basedOn w:val="Normal"/>
    <w:uiPriority w:val="34"/>
    <w:qFormat/>
    <w:rsid w:val="00DA08E7"/>
    <w:pPr>
      <w:spacing w:after="200" w:line="276" w:lineRule="auto"/>
      <w:ind w:left="720"/>
      <w:contextualSpacing/>
    </w:pPr>
    <w:rPr>
      <w:rFonts w:eastAsia="Times New Roman" w:cs="Times New Roman"/>
      <w:lang w:val="ka-GE"/>
    </w:rPr>
  </w:style>
  <w:style w:type="paragraph" w:customStyle="1" w:styleId="Default">
    <w:name w:val="Default"/>
    <w:rsid w:val="00DA08E7"/>
    <w:pPr>
      <w:autoSpaceDE w:val="0"/>
      <w:autoSpaceDN w:val="0"/>
      <w:adjustRightInd w:val="0"/>
      <w:spacing w:after="0" w:line="240" w:lineRule="auto"/>
    </w:pPr>
    <w:rPr>
      <w:rFonts w:ascii="Sylfaen" w:hAnsi="Sylfaen" w:cs="Sylfaen"/>
      <w:color w:val="000000"/>
      <w:sz w:val="24"/>
      <w:szCs w:val="24"/>
    </w:rPr>
  </w:style>
  <w:style w:type="table" w:styleId="TableGrid">
    <w:name w:val="Table Grid"/>
    <w:basedOn w:val="TableNormal"/>
    <w:uiPriority w:val="39"/>
    <w:rsid w:val="00781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1</Pages>
  <Words>992</Words>
  <Characters>5659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Adamashvili</dc:creator>
  <cp:keywords/>
  <dc:description/>
  <cp:lastModifiedBy>Khatuna Kapanadze</cp:lastModifiedBy>
  <cp:revision>22</cp:revision>
  <dcterms:created xsi:type="dcterms:W3CDTF">2022-02-16T08:32:00Z</dcterms:created>
  <dcterms:modified xsi:type="dcterms:W3CDTF">2022-03-04T11:56:00Z</dcterms:modified>
</cp:coreProperties>
</file>